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E1D5D" w14:textId="77777777" w:rsidR="00570E38" w:rsidRPr="003C70DE" w:rsidRDefault="006E5B7C" w:rsidP="00570E38">
      <w:pPr>
        <w:rPr>
          <w:rFonts w:ascii="Verdana" w:hAnsi="Verdana"/>
        </w:rPr>
      </w:pPr>
      <w:r w:rsidRPr="003C70DE">
        <w:rPr>
          <w:rFonts w:ascii="Verdana" w:hAnsi="Verdana"/>
          <w:noProof/>
          <w:lang w:val="de-DE" w:eastAsia="de-DE"/>
        </w:rPr>
        <w:drawing>
          <wp:anchor distT="0" distB="0" distL="114300" distR="114300" simplePos="0" relativeHeight="251662336" behindDoc="0" locked="0" layoutInCell="1" allowOverlap="1" wp14:anchorId="1CB4AFFB" wp14:editId="5ACFF916">
            <wp:simplePos x="0" y="0"/>
            <wp:positionH relativeFrom="column">
              <wp:posOffset>-177129</wp:posOffset>
            </wp:positionH>
            <wp:positionV relativeFrom="paragraph">
              <wp:posOffset>-1450813</wp:posOffset>
            </wp:positionV>
            <wp:extent cx="2721812" cy="971429"/>
            <wp:effectExtent l="0" t="0" r="254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1812" cy="971429"/>
                    </a:xfrm>
                    <a:prstGeom prst="rect">
                      <a:avLst/>
                    </a:prstGeom>
                  </pic:spPr>
                </pic:pic>
              </a:graphicData>
            </a:graphic>
            <wp14:sizeRelH relativeFrom="page">
              <wp14:pctWidth>0</wp14:pctWidth>
            </wp14:sizeRelH>
            <wp14:sizeRelV relativeFrom="page">
              <wp14:pctHeight>0</wp14:pctHeight>
            </wp14:sizeRelV>
          </wp:anchor>
        </w:drawing>
      </w:r>
    </w:p>
    <w:p w14:paraId="7E0924FD" w14:textId="77777777" w:rsidR="00154BD1" w:rsidRPr="003C70DE" w:rsidRDefault="00154BD1" w:rsidP="00570E38">
      <w:pPr>
        <w:rPr>
          <w:rFonts w:ascii="Verdana" w:hAnsi="Verdana"/>
        </w:rPr>
      </w:pPr>
    </w:p>
    <w:p w14:paraId="3FDD048E" w14:textId="77777777" w:rsidR="00154BD1" w:rsidRPr="003C70DE" w:rsidRDefault="00154BD1" w:rsidP="00570E38">
      <w:pPr>
        <w:rPr>
          <w:rFonts w:ascii="Verdana" w:hAnsi="Verdana"/>
        </w:rPr>
      </w:pPr>
    </w:p>
    <w:p w14:paraId="1D04A52A" w14:textId="77777777" w:rsidR="00154BD1" w:rsidRPr="003C70DE" w:rsidRDefault="00154BD1" w:rsidP="00570E38">
      <w:pPr>
        <w:rPr>
          <w:rFonts w:ascii="Verdana" w:hAnsi="Verdana"/>
        </w:rPr>
      </w:pPr>
    </w:p>
    <w:p w14:paraId="5640ED1C" w14:textId="77777777" w:rsidR="00154BD1" w:rsidRPr="003C70DE" w:rsidRDefault="00154BD1" w:rsidP="00570E38">
      <w:pPr>
        <w:rPr>
          <w:rFonts w:ascii="Verdana" w:hAnsi="Verdana"/>
        </w:rPr>
      </w:pPr>
    </w:p>
    <w:p w14:paraId="13D53580" w14:textId="77777777" w:rsidR="00154BD1" w:rsidRPr="003C70DE" w:rsidRDefault="00154BD1" w:rsidP="00570E38">
      <w:pPr>
        <w:rPr>
          <w:rFonts w:ascii="Verdana" w:hAnsi="Verdana"/>
        </w:rPr>
      </w:pPr>
    </w:p>
    <w:p w14:paraId="7572194F" w14:textId="77777777" w:rsidR="00154BD1" w:rsidRPr="003C70DE" w:rsidRDefault="00154BD1" w:rsidP="00570E38">
      <w:pPr>
        <w:rPr>
          <w:rFonts w:ascii="Verdana" w:hAnsi="Verdana"/>
        </w:rPr>
      </w:pPr>
    </w:p>
    <w:p w14:paraId="3541D32D" w14:textId="77777777" w:rsidR="00154BD1" w:rsidRPr="003C70DE" w:rsidRDefault="00154BD1" w:rsidP="00570E38">
      <w:pPr>
        <w:rPr>
          <w:rFonts w:ascii="Verdana" w:hAnsi="Verdana"/>
        </w:rPr>
      </w:pPr>
    </w:p>
    <w:p w14:paraId="394F3958" w14:textId="77777777" w:rsidR="00154BD1" w:rsidRPr="003C70DE" w:rsidRDefault="00154BD1" w:rsidP="00570E38">
      <w:pPr>
        <w:rPr>
          <w:rFonts w:ascii="Verdana" w:hAnsi="Verdana"/>
        </w:rPr>
      </w:pPr>
    </w:p>
    <w:p w14:paraId="2F57B033" w14:textId="77777777" w:rsidR="00154BD1" w:rsidRPr="003C70DE" w:rsidRDefault="00154BD1" w:rsidP="00570E38">
      <w:pPr>
        <w:rPr>
          <w:rFonts w:ascii="Verdana" w:hAnsi="Verdana"/>
        </w:rPr>
      </w:pPr>
      <w:r w:rsidRPr="003C70DE">
        <w:rPr>
          <w:rFonts w:ascii="Verdana" w:hAnsi="Verdana"/>
          <w:noProof/>
          <w:lang w:val="de-DE" w:eastAsia="de-DE"/>
        </w:rPr>
        <mc:AlternateContent>
          <mc:Choice Requires="wps">
            <w:drawing>
              <wp:anchor distT="45720" distB="45720" distL="114300" distR="114300" simplePos="0" relativeHeight="251661312" behindDoc="0" locked="0" layoutInCell="1" allowOverlap="1" wp14:anchorId="7793B713" wp14:editId="5DC775B7">
                <wp:simplePos x="0" y="0"/>
                <wp:positionH relativeFrom="page">
                  <wp:posOffset>4858327</wp:posOffset>
                </wp:positionH>
                <wp:positionV relativeFrom="paragraph">
                  <wp:posOffset>257060</wp:posOffset>
                </wp:positionV>
                <wp:extent cx="2702503" cy="304800"/>
                <wp:effectExtent l="0" t="0" r="317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03" cy="304800"/>
                        </a:xfrm>
                        <a:prstGeom prst="rect">
                          <a:avLst/>
                        </a:prstGeom>
                        <a:solidFill>
                          <a:srgbClr val="BBB4A2"/>
                        </a:solidFill>
                        <a:ln w="9525">
                          <a:noFill/>
                          <a:miter lim="800000"/>
                          <a:headEnd/>
                          <a:tailEnd/>
                        </a:ln>
                      </wps:spPr>
                      <wps:txbx>
                        <w:txbxContent>
                          <w:p w14:paraId="248167A5" w14:textId="16D1E5A1" w:rsidR="00393867" w:rsidRDefault="00F95793" w:rsidP="00AC4154">
                            <w:pPr>
                              <w:tabs>
                                <w:tab w:val="right" w:pos="2694"/>
                              </w:tabs>
                              <w:spacing w:line="240" w:lineRule="auto"/>
                            </w:pPr>
                            <w:r>
                              <w:rPr>
                                <w:rFonts w:ascii="Segoe UI Light" w:hAnsi="Segoe UI Light" w:cs="Segoe UI Light"/>
                              </w:rPr>
                              <w:t>Empfehlung</w:t>
                            </w:r>
                            <w:r w:rsidR="00393867">
                              <w:rPr>
                                <w:rFonts w:ascii="Segoe UI Light" w:hAnsi="Segoe UI Light" w:cs="Segoe UI Light"/>
                              </w:rPr>
                              <w:t xml:space="preserve"> vom </w:t>
                            </w:r>
                            <w:r w:rsidR="00F25760">
                              <w:rPr>
                                <w:rFonts w:ascii="Segoe UI Light" w:hAnsi="Segoe UI Light" w:cs="Segoe UI Light"/>
                              </w:rPr>
                              <w:t>x</w:t>
                            </w:r>
                            <w:r w:rsidR="00D736CD">
                              <w:rPr>
                                <w:rFonts w:ascii="Segoe UI Light" w:hAnsi="Segoe UI Light" w:cs="Segoe UI Light"/>
                              </w:rPr>
                              <w:t>.</w:t>
                            </w:r>
                            <w:r w:rsidR="00393867">
                              <w:rPr>
                                <w:rFonts w:ascii="Segoe UI Light" w:hAnsi="Segoe UI Light" w:cs="Segoe UI Light"/>
                              </w:rPr>
                              <w:t xml:space="preserve"> </w:t>
                            </w:r>
                            <w:r w:rsidR="00F25760">
                              <w:rPr>
                                <w:rFonts w:ascii="Segoe UI Light" w:hAnsi="Segoe UI Light" w:cs="Segoe UI Light"/>
                              </w:rPr>
                              <w:t xml:space="preserve">Juni </w:t>
                            </w:r>
                            <w:r>
                              <w:rPr>
                                <w:rFonts w:ascii="Segoe UI Light" w:hAnsi="Segoe UI Light" w:cs="Segoe UI Light"/>
                              </w:rPr>
                              <w:t>20</w:t>
                            </w:r>
                            <w:r w:rsidR="00F25760">
                              <w:rPr>
                                <w:rFonts w:ascii="Segoe UI Light" w:hAnsi="Segoe UI Light" w:cs="Segoe UI Light"/>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B713" id="_x0000_t202" coordsize="21600,21600" o:spt="202" path="m,l,21600r21600,l21600,xe">
                <v:stroke joinstyle="miter"/>
                <v:path gradientshapeok="t" o:connecttype="rect"/>
              </v:shapetype>
              <v:shape id="Textfeld 2" o:spid="_x0000_s1026" type="#_x0000_t202" style="position:absolute;margin-left:382.55pt;margin-top:20.25pt;width:212.8pt;height:2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" fillcolor="#bbb4a2" stroked="f">
                <v:textbox>
                  <w:txbxContent>
                    <w:p w14:paraId="248167A5" w14:textId="16D1E5A1" w:rsidR="00393867" w:rsidRDefault="00F95793" w:rsidP="00AC4154">
                      <w:pPr>
                        <w:tabs>
                          <w:tab w:val="right" w:pos="2694"/>
                        </w:tabs>
                        <w:spacing w:line="240" w:lineRule="auto"/>
                      </w:pPr>
                      <w:r>
                        <w:rPr>
                          <w:rFonts w:ascii="Segoe UI Light" w:hAnsi="Segoe UI Light" w:cs="Segoe UI Light"/>
                        </w:rPr>
                        <w:t>Empfehlung</w:t>
                      </w:r>
                      <w:r w:rsidR="00393867">
                        <w:rPr>
                          <w:rFonts w:ascii="Segoe UI Light" w:hAnsi="Segoe UI Light" w:cs="Segoe UI Light"/>
                        </w:rPr>
                        <w:t xml:space="preserve"> vom </w:t>
                      </w:r>
                      <w:r w:rsidR="00F25760">
                        <w:rPr>
                          <w:rFonts w:ascii="Segoe UI Light" w:hAnsi="Segoe UI Light" w:cs="Segoe UI Light"/>
                        </w:rPr>
                        <w:t>x</w:t>
                      </w:r>
                      <w:r w:rsidR="00D736CD">
                        <w:rPr>
                          <w:rFonts w:ascii="Segoe UI Light" w:hAnsi="Segoe UI Light" w:cs="Segoe UI Light"/>
                        </w:rPr>
                        <w:t>.</w:t>
                      </w:r>
                      <w:r w:rsidR="00393867">
                        <w:rPr>
                          <w:rFonts w:ascii="Segoe UI Light" w:hAnsi="Segoe UI Light" w:cs="Segoe UI Light"/>
                        </w:rPr>
                        <w:t xml:space="preserve"> </w:t>
                      </w:r>
                      <w:r w:rsidR="00F25760">
                        <w:rPr>
                          <w:rFonts w:ascii="Segoe UI Light" w:hAnsi="Segoe UI Light" w:cs="Segoe UI Light"/>
                        </w:rPr>
                        <w:t xml:space="preserve">Juni </w:t>
                      </w:r>
                      <w:r>
                        <w:rPr>
                          <w:rFonts w:ascii="Segoe UI Light" w:hAnsi="Segoe UI Light" w:cs="Segoe UI Light"/>
                        </w:rPr>
                        <w:t>20</w:t>
                      </w:r>
                      <w:r w:rsidR="00F25760">
                        <w:rPr>
                          <w:rFonts w:ascii="Segoe UI Light" w:hAnsi="Segoe UI Light" w:cs="Segoe UI Light"/>
                        </w:rPr>
                        <w:t>21</w:t>
                      </w:r>
                    </w:p>
                  </w:txbxContent>
                </v:textbox>
                <w10:wrap anchorx="page"/>
              </v:shape>
            </w:pict>
          </mc:Fallback>
        </mc:AlternateContent>
      </w:r>
    </w:p>
    <w:p w14:paraId="520F5617" w14:textId="77777777" w:rsidR="00154BD1" w:rsidRPr="003C70DE" w:rsidRDefault="00154BD1" w:rsidP="00570E38">
      <w:pPr>
        <w:rPr>
          <w:rFonts w:ascii="Verdana" w:hAnsi="Verdana"/>
        </w:rPr>
      </w:pPr>
    </w:p>
    <w:p w14:paraId="316687B9" w14:textId="77777777" w:rsidR="00154BD1" w:rsidRPr="003C70DE" w:rsidRDefault="00154BD1" w:rsidP="00570E38">
      <w:pPr>
        <w:rPr>
          <w:rFonts w:ascii="Verdana" w:hAnsi="Verdana"/>
        </w:rPr>
      </w:pPr>
    </w:p>
    <w:p w14:paraId="4571961B" w14:textId="77777777" w:rsidR="00154BD1" w:rsidRPr="003C70DE" w:rsidRDefault="00154BD1" w:rsidP="00570E38">
      <w:pPr>
        <w:rPr>
          <w:rFonts w:ascii="Verdana" w:hAnsi="Verdana"/>
        </w:rPr>
      </w:pPr>
    </w:p>
    <w:p w14:paraId="319851BE" w14:textId="77777777" w:rsidR="00154BD1" w:rsidRPr="003C70DE" w:rsidRDefault="00154BD1" w:rsidP="00570E38">
      <w:pPr>
        <w:rPr>
          <w:rFonts w:ascii="Verdana" w:hAnsi="Verdana"/>
        </w:rPr>
      </w:pPr>
    </w:p>
    <w:p w14:paraId="3B84A7E3" w14:textId="4CE80327" w:rsidR="006F5107" w:rsidRPr="003C70DE" w:rsidRDefault="00A432C8" w:rsidP="00154BD1">
      <w:pPr>
        <w:pStyle w:val="Titel"/>
        <w:rPr>
          <w:rFonts w:ascii="Segoe UI Historic" w:hAnsi="Segoe UI Historic" w:cs="Segoe UI Historic"/>
          <w:color w:val="BBB4A2"/>
        </w:rPr>
      </w:pPr>
      <w:r w:rsidRPr="003C70DE">
        <w:rPr>
          <w:rFonts w:ascii="Segoe UI Historic" w:hAnsi="Segoe UI Historic" w:cs="Segoe UI Historic"/>
          <w:color w:val="BBB4A2"/>
        </w:rPr>
        <w:t>KGAST-</w:t>
      </w:r>
      <w:r w:rsidR="00F95793" w:rsidRPr="003C70DE">
        <w:rPr>
          <w:rFonts w:ascii="Segoe UI Historic" w:hAnsi="Segoe UI Historic" w:cs="Segoe UI Historic"/>
          <w:color w:val="BBB4A2"/>
        </w:rPr>
        <w:t>Empfehlung</w:t>
      </w:r>
    </w:p>
    <w:p w14:paraId="6E43BDA9" w14:textId="77777777" w:rsidR="00B60D0E" w:rsidRPr="003C70DE" w:rsidRDefault="00B60D0E" w:rsidP="00824896">
      <w:pPr>
        <w:rPr>
          <w:rFonts w:ascii="Segoe UI Historic" w:hAnsi="Segoe UI Historic" w:cs="Segoe UI Historic"/>
          <w:color w:val="BBB4A2"/>
          <w:sz w:val="36"/>
          <w:szCs w:val="36"/>
        </w:rPr>
      </w:pPr>
    </w:p>
    <w:p w14:paraId="156C621C" w14:textId="14B21C1E" w:rsidR="00154BD1" w:rsidRPr="003C70DE" w:rsidRDefault="00F25760" w:rsidP="00F25760">
      <w:pPr>
        <w:spacing w:after="60" w:line="240" w:lineRule="auto"/>
        <w:rPr>
          <w:rFonts w:ascii="Segoe UI Historic" w:eastAsiaTheme="majorEastAsia" w:hAnsi="Segoe UI Historic" w:cs="Segoe UI Historic"/>
          <w:spacing w:val="-10"/>
          <w:kern w:val="28"/>
          <w:sz w:val="56"/>
          <w:szCs w:val="56"/>
        </w:rPr>
      </w:pPr>
      <w:r w:rsidRPr="003C70DE">
        <w:rPr>
          <w:rFonts w:ascii="Segoe UI Historic" w:eastAsiaTheme="majorEastAsia" w:hAnsi="Segoe UI Historic" w:cs="Segoe UI Historic"/>
          <w:spacing w:val="-10"/>
          <w:kern w:val="28"/>
          <w:sz w:val="56"/>
          <w:szCs w:val="56"/>
        </w:rPr>
        <w:t>Hypotheken</w:t>
      </w:r>
      <w:r w:rsidR="00B97215" w:rsidRPr="003C70DE">
        <w:rPr>
          <w:rFonts w:ascii="Segoe UI Historic" w:eastAsiaTheme="majorEastAsia" w:hAnsi="Segoe UI Historic" w:cs="Segoe UI Historic"/>
          <w:spacing w:val="-10"/>
          <w:kern w:val="28"/>
          <w:sz w:val="56"/>
          <w:szCs w:val="56"/>
        </w:rPr>
        <w:t>-</w:t>
      </w:r>
      <w:r w:rsidR="003A4F8A" w:rsidRPr="003C70DE">
        <w:rPr>
          <w:rFonts w:ascii="Segoe UI Historic" w:eastAsiaTheme="majorEastAsia" w:hAnsi="Segoe UI Historic" w:cs="Segoe UI Historic"/>
          <w:spacing w:val="-10"/>
          <w:kern w:val="28"/>
          <w:sz w:val="56"/>
          <w:szCs w:val="56"/>
        </w:rPr>
        <w:t>A</w:t>
      </w:r>
      <w:r w:rsidRPr="003C70DE">
        <w:rPr>
          <w:rFonts w:ascii="Segoe UI Historic" w:eastAsiaTheme="majorEastAsia" w:hAnsi="Segoe UI Historic" w:cs="Segoe UI Historic"/>
          <w:spacing w:val="-10"/>
          <w:kern w:val="28"/>
          <w:sz w:val="56"/>
          <w:szCs w:val="56"/>
        </w:rPr>
        <w:t xml:space="preserve">nlagegruppen: </w:t>
      </w:r>
      <w:r w:rsidR="001E3504" w:rsidRPr="003C70DE">
        <w:rPr>
          <w:rFonts w:ascii="Segoe UI Historic" w:eastAsiaTheme="majorEastAsia" w:hAnsi="Segoe UI Historic" w:cs="Segoe UI Historic"/>
          <w:spacing w:val="-10"/>
          <w:kern w:val="28"/>
          <w:sz w:val="56"/>
          <w:szCs w:val="56"/>
        </w:rPr>
        <w:br/>
      </w:r>
      <w:r w:rsidRPr="003C70DE">
        <w:rPr>
          <w:rFonts w:ascii="Segoe UI Historic" w:eastAsiaTheme="majorEastAsia" w:hAnsi="Segoe UI Historic" w:cs="Segoe UI Historic"/>
          <w:spacing w:val="-10"/>
          <w:kern w:val="28"/>
          <w:sz w:val="56"/>
          <w:szCs w:val="56"/>
        </w:rPr>
        <w:t>Standardisierte Offenlegung</w:t>
      </w:r>
    </w:p>
    <w:p w14:paraId="60E7C76C" w14:textId="77777777" w:rsidR="001719B8" w:rsidRPr="003C70DE" w:rsidRDefault="001719B8">
      <w:pPr>
        <w:spacing w:line="259" w:lineRule="auto"/>
        <w:rPr>
          <w:rFonts w:ascii="Segoe UI Historic" w:eastAsiaTheme="majorEastAsia" w:hAnsi="Segoe UI Historic" w:cs="Segoe UI Historic"/>
          <w:color w:val="000000" w:themeColor="text1"/>
          <w:sz w:val="32"/>
          <w:szCs w:val="32"/>
        </w:rPr>
      </w:pPr>
      <w:r w:rsidRPr="003C70DE">
        <w:rPr>
          <w:rFonts w:ascii="Segoe UI Historic" w:hAnsi="Segoe UI Historic" w:cs="Segoe UI Historic"/>
        </w:rPr>
        <w:br w:type="page"/>
      </w:r>
    </w:p>
    <w:p w14:paraId="67D0A86E" w14:textId="4DC34A28" w:rsidR="00154BD1" w:rsidRPr="003C70DE" w:rsidRDefault="00690830" w:rsidP="00D736CD">
      <w:pPr>
        <w:pStyle w:val="berschrift1"/>
        <w:rPr>
          <w:rFonts w:ascii="Segoe UI Historic" w:hAnsi="Segoe UI Historic" w:cs="Segoe UI Historic"/>
        </w:rPr>
      </w:pPr>
      <w:r w:rsidRPr="003C70DE">
        <w:rPr>
          <w:rFonts w:ascii="Segoe UI Historic" w:hAnsi="Segoe UI Historic" w:cs="Segoe UI Historic"/>
        </w:rPr>
        <w:lastRenderedPageBreak/>
        <w:t>Ausgangslage</w:t>
      </w:r>
    </w:p>
    <w:p w14:paraId="5D47807E" w14:textId="3544605C" w:rsidR="00F25760" w:rsidRPr="003C70DE" w:rsidRDefault="00596ED6" w:rsidP="00B60D0E">
      <w:pPr>
        <w:rPr>
          <w:rFonts w:ascii="Segoe UI Historic" w:hAnsi="Segoe UI Historic" w:cs="Segoe UI Historic"/>
        </w:rPr>
      </w:pPr>
      <w:r w:rsidRPr="003C70DE">
        <w:rPr>
          <w:rFonts w:ascii="Segoe UI Historic" w:hAnsi="Segoe UI Historic" w:cs="Segoe UI Historic"/>
        </w:rPr>
        <w:t>Verschiedene</w:t>
      </w:r>
      <w:r w:rsidR="00B60D0E" w:rsidRPr="003C70DE">
        <w:rPr>
          <w:rFonts w:ascii="Segoe UI Historic" w:hAnsi="Segoe UI Historic" w:cs="Segoe UI Historic"/>
        </w:rPr>
        <w:t xml:space="preserve"> Anlagestiftungen ermöglichen </w:t>
      </w:r>
      <w:r w:rsidR="003A4F8A" w:rsidRPr="003C70DE">
        <w:rPr>
          <w:rFonts w:ascii="Segoe UI Historic" w:hAnsi="Segoe UI Historic" w:cs="Segoe UI Historic"/>
        </w:rPr>
        <w:t xml:space="preserve">den </w:t>
      </w:r>
      <w:r w:rsidR="00F25760" w:rsidRPr="003C70DE">
        <w:rPr>
          <w:rFonts w:ascii="Segoe UI Historic" w:hAnsi="Segoe UI Historic" w:cs="Segoe UI Historic"/>
        </w:rPr>
        <w:t>Anleger</w:t>
      </w:r>
      <w:r w:rsidR="003A4F8A" w:rsidRPr="003C70DE">
        <w:rPr>
          <w:rFonts w:ascii="Segoe UI Historic" w:hAnsi="Segoe UI Historic" w:cs="Segoe UI Historic"/>
        </w:rPr>
        <w:t>innen und Anleger</w:t>
      </w:r>
      <w:r w:rsidR="00040908" w:rsidRPr="003C70DE">
        <w:rPr>
          <w:rFonts w:ascii="Segoe UI Historic" w:hAnsi="Segoe UI Historic" w:cs="Segoe UI Historic"/>
        </w:rPr>
        <w:t>n</w:t>
      </w:r>
      <w:r w:rsidR="00B60D0E" w:rsidRPr="003C70DE">
        <w:rPr>
          <w:rFonts w:ascii="Segoe UI Historic" w:hAnsi="Segoe UI Historic" w:cs="Segoe UI Historic"/>
        </w:rPr>
        <w:t xml:space="preserve"> Zugang zu schweizerischen Hypotheken. </w:t>
      </w:r>
      <w:r w:rsidR="00F25760" w:rsidRPr="003C70DE">
        <w:rPr>
          <w:rFonts w:ascii="Segoe UI Historic" w:hAnsi="Segoe UI Historic" w:cs="Segoe UI Historic"/>
        </w:rPr>
        <w:t>Die Anlagestiftungen wenden dabei unterschiedliche B</w:t>
      </w:r>
      <w:r w:rsidR="00B60D0E" w:rsidRPr="003C70DE">
        <w:rPr>
          <w:rFonts w:ascii="Segoe UI Historic" w:hAnsi="Segoe UI Historic" w:cs="Segoe UI Historic"/>
        </w:rPr>
        <w:t>e</w:t>
      </w:r>
      <w:r w:rsidR="00F25760" w:rsidRPr="003C70DE">
        <w:rPr>
          <w:rFonts w:ascii="Segoe UI Historic" w:hAnsi="Segoe UI Historic" w:cs="Segoe UI Historic"/>
        </w:rPr>
        <w:t>we</w:t>
      </w:r>
      <w:r w:rsidR="00B60D0E" w:rsidRPr="003C70DE">
        <w:rPr>
          <w:rFonts w:ascii="Segoe UI Historic" w:hAnsi="Segoe UI Historic" w:cs="Segoe UI Historic"/>
        </w:rPr>
        <w:t>rtungsmethoden an</w:t>
      </w:r>
      <w:r w:rsidR="00F25760" w:rsidRPr="003C70DE">
        <w:rPr>
          <w:rFonts w:ascii="Segoe UI Historic" w:hAnsi="Segoe UI Historic" w:cs="Segoe UI Historic"/>
        </w:rPr>
        <w:t xml:space="preserve">, was dazu führt, dass </w:t>
      </w:r>
      <w:r w:rsidR="00B60D0E" w:rsidRPr="003C70DE">
        <w:rPr>
          <w:rFonts w:ascii="Segoe UI Historic" w:hAnsi="Segoe UI Historic" w:cs="Segoe UI Historic"/>
        </w:rPr>
        <w:t xml:space="preserve">die ausgewiesenen Renditen </w:t>
      </w:r>
      <w:r w:rsidR="003A4F8A" w:rsidRPr="003C70DE">
        <w:rPr>
          <w:rFonts w:ascii="Segoe UI Historic" w:hAnsi="Segoe UI Historic" w:cs="Segoe UI Historic"/>
        </w:rPr>
        <w:t>der Anlagegruppen kaum</w:t>
      </w:r>
      <w:r w:rsidR="00B60D0E" w:rsidRPr="003C70DE">
        <w:rPr>
          <w:rFonts w:ascii="Segoe UI Historic" w:hAnsi="Segoe UI Historic" w:cs="Segoe UI Historic"/>
        </w:rPr>
        <w:t xml:space="preserve"> vergleichbar sind.</w:t>
      </w:r>
    </w:p>
    <w:p w14:paraId="068D0702" w14:textId="69DEAB96" w:rsidR="00B60D0E" w:rsidRPr="003C70DE" w:rsidRDefault="00B60D0E" w:rsidP="00B60D0E">
      <w:pPr>
        <w:rPr>
          <w:rFonts w:ascii="Segoe UI Historic" w:hAnsi="Segoe UI Historic" w:cs="Segoe UI Historic"/>
          <w:lang w:val="de-DE"/>
        </w:rPr>
      </w:pPr>
      <w:bookmarkStart w:id="0" w:name="_GoBack"/>
      <w:r w:rsidRPr="003C70DE">
        <w:rPr>
          <w:rFonts w:ascii="Segoe UI Historic" w:hAnsi="Segoe UI Historic" w:cs="Segoe UI Historic"/>
        </w:rPr>
        <w:t xml:space="preserve">Die KGAST </w:t>
      </w:r>
      <w:r w:rsidR="00C65FE8" w:rsidRPr="003C70DE">
        <w:rPr>
          <w:rFonts w:ascii="Segoe UI Historic" w:hAnsi="Segoe UI Historic" w:cs="Segoe UI Historic"/>
        </w:rPr>
        <w:t>empfiehlt deshalb</w:t>
      </w:r>
      <w:r w:rsidRPr="003C70DE">
        <w:rPr>
          <w:rFonts w:ascii="Segoe UI Historic" w:hAnsi="Segoe UI Historic" w:cs="Segoe UI Historic"/>
        </w:rPr>
        <w:t xml:space="preserve"> ihren Mitgliedern</w:t>
      </w:r>
      <w:r w:rsidR="00C65FE8" w:rsidRPr="003C70DE">
        <w:rPr>
          <w:rFonts w:ascii="Segoe UI Historic" w:hAnsi="Segoe UI Historic" w:cs="Segoe UI Historic"/>
        </w:rPr>
        <w:t xml:space="preserve">, </w:t>
      </w:r>
      <w:r w:rsidRPr="003C70DE">
        <w:rPr>
          <w:rFonts w:ascii="Segoe UI Historic" w:hAnsi="Segoe UI Historic" w:cs="Segoe UI Historic"/>
        </w:rPr>
        <w:t xml:space="preserve">eine </w:t>
      </w:r>
      <w:r w:rsidR="00690830" w:rsidRPr="003C70DE">
        <w:rPr>
          <w:rFonts w:ascii="Segoe UI Historic" w:hAnsi="Segoe UI Historic" w:cs="Segoe UI Historic"/>
          <w:lang w:val="de-DE"/>
        </w:rPr>
        <w:t>standardisierte</w:t>
      </w:r>
      <w:r w:rsidRPr="003C70DE">
        <w:rPr>
          <w:rFonts w:ascii="Segoe UI Historic" w:hAnsi="Segoe UI Historic" w:cs="Segoe UI Historic"/>
          <w:lang w:val="de-DE"/>
        </w:rPr>
        <w:t xml:space="preserve"> Offenlegung von Kennzahlen sowie eine</w:t>
      </w:r>
      <w:r w:rsidR="00C65FE8" w:rsidRPr="003C70DE">
        <w:rPr>
          <w:rFonts w:ascii="Segoe UI Historic" w:hAnsi="Segoe UI Historic" w:cs="Segoe UI Historic"/>
          <w:lang w:val="de-DE"/>
        </w:rPr>
        <w:t>n</w:t>
      </w:r>
      <w:r w:rsidRPr="003C70DE">
        <w:rPr>
          <w:rFonts w:ascii="Segoe UI Historic" w:hAnsi="Segoe UI Historic" w:cs="Segoe UI Historic"/>
          <w:lang w:val="de-DE"/>
        </w:rPr>
        <w:t xml:space="preserve"> Beschrieb der verwendeten Bewertungsmethodik</w:t>
      </w:r>
      <w:r w:rsidR="00C65FE8" w:rsidRPr="003C70DE">
        <w:rPr>
          <w:rFonts w:ascii="Segoe UI Historic" w:hAnsi="Segoe UI Historic" w:cs="Segoe UI Historic"/>
          <w:lang w:val="de-DE"/>
        </w:rPr>
        <w:t xml:space="preserve"> zu verwenden</w:t>
      </w:r>
      <w:bookmarkEnd w:id="0"/>
      <w:r w:rsidR="00675E9A" w:rsidRPr="003C70DE">
        <w:rPr>
          <w:rFonts w:ascii="Segoe UI Historic" w:hAnsi="Segoe UI Historic" w:cs="Segoe UI Historic"/>
          <w:lang w:val="de-DE"/>
        </w:rPr>
        <w:t>.</w:t>
      </w:r>
    </w:p>
    <w:p w14:paraId="7ACAF468" w14:textId="6BD063FA" w:rsidR="00F25760" w:rsidRPr="003C70DE" w:rsidRDefault="00F25760" w:rsidP="00F25760">
      <w:pPr>
        <w:pStyle w:val="berschrift1"/>
        <w:rPr>
          <w:rFonts w:ascii="Segoe UI Historic" w:hAnsi="Segoe UI Historic" w:cs="Segoe UI Historic"/>
        </w:rPr>
      </w:pPr>
      <w:r w:rsidRPr="003C70DE">
        <w:rPr>
          <w:rFonts w:ascii="Segoe UI Historic" w:hAnsi="Segoe UI Historic" w:cs="Segoe UI Historic"/>
        </w:rPr>
        <w:t>Standardisierte Offenlegung von Kennzahlen in Factsheets</w:t>
      </w:r>
    </w:p>
    <w:p w14:paraId="7D45157B" w14:textId="6EC06516" w:rsidR="00B60D0E" w:rsidRPr="003C70DE" w:rsidRDefault="00F25760" w:rsidP="003C70DE">
      <w:pPr>
        <w:spacing w:after="60"/>
        <w:rPr>
          <w:rFonts w:ascii="Segoe UI Historic" w:hAnsi="Segoe UI Historic" w:cs="Segoe UI Historic"/>
        </w:rPr>
      </w:pPr>
      <w:r w:rsidRPr="003C70DE">
        <w:rPr>
          <w:rFonts w:ascii="Segoe UI Historic" w:hAnsi="Segoe UI Historic" w:cs="Segoe UI Historic"/>
        </w:rPr>
        <w:t xml:space="preserve">Die KGAST empfiehlt, </w:t>
      </w:r>
      <w:r w:rsidR="003A4F8A" w:rsidRPr="003C70DE">
        <w:rPr>
          <w:rFonts w:ascii="Segoe UI Historic" w:hAnsi="Segoe UI Historic" w:cs="Segoe UI Historic"/>
        </w:rPr>
        <w:t>die</w:t>
      </w:r>
      <w:r w:rsidR="00B60D0E" w:rsidRPr="003C70DE">
        <w:rPr>
          <w:rFonts w:ascii="Segoe UI Historic" w:hAnsi="Segoe UI Historic" w:cs="Segoe UI Historic"/>
        </w:rPr>
        <w:t xml:space="preserve"> </w:t>
      </w:r>
      <w:r w:rsidR="00675E9A" w:rsidRPr="003C70DE">
        <w:rPr>
          <w:rFonts w:ascii="Segoe UI Historic" w:hAnsi="Segoe UI Historic" w:cs="Segoe UI Historic"/>
        </w:rPr>
        <w:t>folgende</w:t>
      </w:r>
      <w:r w:rsidR="003A4F8A" w:rsidRPr="003C70DE">
        <w:rPr>
          <w:rFonts w:ascii="Segoe UI Historic" w:hAnsi="Segoe UI Historic" w:cs="Segoe UI Historic"/>
        </w:rPr>
        <w:t>n</w:t>
      </w:r>
      <w:r w:rsidR="00675E9A" w:rsidRPr="003C70DE">
        <w:rPr>
          <w:rFonts w:ascii="Segoe UI Historic" w:hAnsi="Segoe UI Historic" w:cs="Segoe UI Historic"/>
        </w:rPr>
        <w:t xml:space="preserve"> </w:t>
      </w:r>
      <w:r w:rsidR="00B60D0E" w:rsidRPr="003C70DE">
        <w:rPr>
          <w:rFonts w:ascii="Segoe UI Historic" w:hAnsi="Segoe UI Historic" w:cs="Segoe UI Historic"/>
        </w:rPr>
        <w:t xml:space="preserve">Informationen </w:t>
      </w:r>
      <w:r w:rsidR="003A4F8A" w:rsidRPr="003C70DE">
        <w:rPr>
          <w:rFonts w:ascii="Segoe UI Historic" w:hAnsi="Segoe UI Historic" w:cs="Segoe UI Historic"/>
        </w:rPr>
        <w:t xml:space="preserve">auf halbjährlicher Basis </w:t>
      </w:r>
      <w:r w:rsidRPr="003C70DE">
        <w:rPr>
          <w:rFonts w:ascii="Segoe UI Historic" w:hAnsi="Segoe UI Historic" w:cs="Segoe UI Historic"/>
        </w:rPr>
        <w:t xml:space="preserve">zu </w:t>
      </w:r>
      <w:r w:rsidR="00675E9A" w:rsidRPr="003C70DE">
        <w:rPr>
          <w:rFonts w:ascii="Segoe UI Historic" w:hAnsi="Segoe UI Historic" w:cs="Segoe UI Historic"/>
        </w:rPr>
        <w:t>publizier</w:t>
      </w:r>
      <w:r w:rsidRPr="003C70DE">
        <w:rPr>
          <w:rFonts w:ascii="Segoe UI Historic" w:hAnsi="Segoe UI Historic" w:cs="Segoe UI Historic"/>
        </w:rPr>
        <w:t>en</w:t>
      </w:r>
      <w:r w:rsidR="00675E9A" w:rsidRPr="003C70DE">
        <w:rPr>
          <w:rFonts w:ascii="Segoe UI Historic" w:hAnsi="Segoe UI Historic" w:cs="Segoe UI Historic"/>
        </w:rPr>
        <w:t>:</w:t>
      </w:r>
    </w:p>
    <w:p w14:paraId="412BF2BF"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Vermögensstruktur (Anteil Hypotheken, Obligationen, Liquidität)</w:t>
      </w:r>
    </w:p>
    <w:p w14:paraId="4E0C665F" w14:textId="0CE0D520"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 xml:space="preserve">Anteil </w:t>
      </w:r>
      <w:r w:rsidR="00626233" w:rsidRPr="003C70DE">
        <w:rPr>
          <w:rFonts w:ascii="Segoe UI Historic" w:hAnsi="Segoe UI Historic" w:cs="Segoe UI Historic"/>
          <w:sz w:val="22"/>
          <w:szCs w:val="22"/>
        </w:rPr>
        <w:t>g</w:t>
      </w:r>
      <w:r w:rsidRPr="003C70DE">
        <w:rPr>
          <w:rFonts w:ascii="Segoe UI Historic" w:hAnsi="Segoe UI Historic" w:cs="Segoe UI Historic"/>
          <w:sz w:val="22"/>
          <w:szCs w:val="22"/>
        </w:rPr>
        <w:t>eldmarkt-basierte Hypotheken</w:t>
      </w:r>
    </w:p>
    <w:p w14:paraId="4CC0344F"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Anteil Festhypotheken</w:t>
      </w:r>
    </w:p>
    <w:p w14:paraId="04A3A6D3"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Anteil weitere Hypothekenarten</w:t>
      </w:r>
    </w:p>
    <w:p w14:paraId="1543A441"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Nutzungsarten (Anteil selbstgenutztes Wohneigentum, Mehrfamilienhäuser, kommerzielle Liegenschaften, gemischte Liegenschaften</w:t>
      </w:r>
      <w:r w:rsidRPr="003C70DE">
        <w:rPr>
          <w:rStyle w:val="Funotenzeichen"/>
          <w:rFonts w:ascii="Segoe UI Historic" w:hAnsi="Segoe UI Historic" w:cs="Segoe UI Historic"/>
          <w:sz w:val="22"/>
          <w:szCs w:val="22"/>
        </w:rPr>
        <w:footnoteReference w:id="1"/>
      </w:r>
      <w:r w:rsidRPr="003C70DE">
        <w:rPr>
          <w:rFonts w:ascii="Segoe UI Historic" w:hAnsi="Segoe UI Historic" w:cs="Segoe UI Historic"/>
          <w:sz w:val="22"/>
          <w:szCs w:val="22"/>
        </w:rPr>
        <w:t>, Rest)</w:t>
      </w:r>
    </w:p>
    <w:p w14:paraId="5F00FC8C"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Durchschnittliche Verfallrendite (Brutto-IRR) über Gesamtportfolio (d.h. inkl. Cash und Derivate), basierend auf den jeweiligen Bewertungen aller Hypotheken, die zu dem Zeitpunkt in den NAV fliessen</w:t>
      </w:r>
    </w:p>
    <w:p w14:paraId="43E563C5"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Durchschnittliche Modified</w:t>
      </w:r>
      <w:r w:rsidRPr="003C70DE">
        <w:rPr>
          <w:rStyle w:val="Funotenzeichen"/>
          <w:rFonts w:ascii="Segoe UI Historic" w:hAnsi="Segoe UI Historic" w:cs="Segoe UI Historic"/>
          <w:sz w:val="22"/>
          <w:szCs w:val="22"/>
        </w:rPr>
        <w:footnoteReference w:id="2"/>
      </w:r>
      <w:r w:rsidRPr="003C70DE">
        <w:rPr>
          <w:rFonts w:ascii="Segoe UI Historic" w:hAnsi="Segoe UI Historic" w:cs="Segoe UI Historic"/>
          <w:sz w:val="22"/>
          <w:szCs w:val="22"/>
        </w:rPr>
        <w:t xml:space="preserve"> Duration für Gesamtportfolio (d.h. inkl. Cash [Laufzeit 0 Jahre] und Derivate), basierend auf den jeweiligen Bewertungen aller Hypotheken, die zu dem Zeitpunkt in den NAV fliessen</w:t>
      </w:r>
    </w:p>
    <w:p w14:paraId="52315F65" w14:textId="25868E86"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Durchschnittliche Laufzeit für Hypothekenportfolio (d.h. ohne Cash und Derivate), basierend auf allen Hypotheken, die zu dem Zeitpunkt in den NAV fliessen</w:t>
      </w:r>
      <w:r w:rsidR="00626233" w:rsidRPr="003C70DE">
        <w:rPr>
          <w:rStyle w:val="Funotenzeichen"/>
          <w:rFonts w:ascii="Segoe UI Historic" w:hAnsi="Segoe UI Historic" w:cs="Segoe UI Historic"/>
          <w:sz w:val="22"/>
          <w:szCs w:val="22"/>
        </w:rPr>
        <w:footnoteReference w:id="3"/>
      </w:r>
    </w:p>
    <w:p w14:paraId="4B2595EF"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Durchschnittliche Belehnung</w:t>
      </w:r>
    </w:p>
    <w:p w14:paraId="7BF5CF68"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Anzahl Hypotheken</w:t>
      </w:r>
    </w:p>
    <w:p w14:paraId="2022C3F7" w14:textId="77777777" w:rsidR="00C5197E" w:rsidRP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Vermögen aller Anteilsklassen (NAV)</w:t>
      </w:r>
    </w:p>
    <w:p w14:paraId="70C4A5E2" w14:textId="43EBDFAA" w:rsidR="003C70DE" w:rsidRDefault="00C5197E" w:rsidP="00626233">
      <w:pPr>
        <w:pStyle w:val="AufzEinrAlpha"/>
        <w:numPr>
          <w:ilvl w:val="0"/>
          <w:numId w:val="27"/>
        </w:numPr>
        <w:ind w:left="426" w:hanging="426"/>
        <w:rPr>
          <w:rFonts w:ascii="Segoe UI Historic" w:hAnsi="Segoe UI Historic" w:cs="Segoe UI Historic"/>
          <w:sz w:val="22"/>
          <w:szCs w:val="22"/>
        </w:rPr>
      </w:pPr>
      <w:r w:rsidRPr="003C70DE">
        <w:rPr>
          <w:rFonts w:ascii="Segoe UI Historic" w:hAnsi="Segoe UI Historic" w:cs="Segoe UI Historic"/>
          <w:sz w:val="22"/>
          <w:szCs w:val="22"/>
        </w:rPr>
        <w:t>Monats</w:t>
      </w:r>
      <w:r w:rsidR="00626233" w:rsidRPr="003C70DE">
        <w:rPr>
          <w:rFonts w:ascii="Segoe UI Historic" w:hAnsi="Segoe UI Historic" w:cs="Segoe UI Historic"/>
          <w:sz w:val="22"/>
          <w:szCs w:val="22"/>
        </w:rPr>
        <w:t>p</w:t>
      </w:r>
      <w:r w:rsidRPr="003C70DE">
        <w:rPr>
          <w:rFonts w:ascii="Segoe UI Historic" w:hAnsi="Segoe UI Historic" w:cs="Segoe UI Historic"/>
          <w:sz w:val="22"/>
          <w:szCs w:val="22"/>
        </w:rPr>
        <w:t>erformance (netto)</w:t>
      </w:r>
    </w:p>
    <w:p w14:paraId="4AF05553" w14:textId="77777777" w:rsidR="003C70DE" w:rsidRDefault="003C70DE">
      <w:pPr>
        <w:spacing w:line="259" w:lineRule="auto"/>
        <w:rPr>
          <w:rFonts w:ascii="Segoe UI Historic" w:eastAsia="Times New Roman" w:hAnsi="Segoe UI Historic" w:cs="Segoe UI Historic"/>
          <w:lang w:eastAsia="de-DE"/>
        </w:rPr>
      </w:pPr>
      <w:r>
        <w:rPr>
          <w:rFonts w:ascii="Segoe UI Historic" w:hAnsi="Segoe UI Historic" w:cs="Segoe UI Historic"/>
        </w:rPr>
        <w:br w:type="page"/>
      </w:r>
    </w:p>
    <w:p w14:paraId="4FFD4FD1" w14:textId="77777777" w:rsidR="00C5197E" w:rsidRPr="003C70DE" w:rsidRDefault="00C5197E" w:rsidP="003C70DE">
      <w:pPr>
        <w:pStyle w:val="AufzEinrAlpha"/>
        <w:numPr>
          <w:ilvl w:val="0"/>
          <w:numId w:val="0"/>
        </w:numPr>
        <w:ind w:left="426"/>
        <w:rPr>
          <w:rFonts w:ascii="Segoe UI Historic" w:hAnsi="Segoe UI Historic" w:cs="Segoe UI Historic"/>
          <w:sz w:val="22"/>
          <w:szCs w:val="22"/>
        </w:rPr>
      </w:pPr>
    </w:p>
    <w:p w14:paraId="431CB00F" w14:textId="77777777" w:rsidR="00C5197E" w:rsidRPr="003C70DE" w:rsidRDefault="00C5197E" w:rsidP="00823AFE">
      <w:pPr>
        <w:pStyle w:val="AufzEinrAlpha"/>
        <w:numPr>
          <w:ilvl w:val="0"/>
          <w:numId w:val="27"/>
        </w:numPr>
        <w:spacing w:after="60"/>
        <w:ind w:left="425" w:hanging="425"/>
        <w:rPr>
          <w:rFonts w:ascii="Segoe UI Historic" w:hAnsi="Segoe UI Historic" w:cs="Segoe UI Historic"/>
          <w:sz w:val="22"/>
          <w:szCs w:val="22"/>
        </w:rPr>
      </w:pPr>
      <w:r w:rsidRPr="003C70DE">
        <w:rPr>
          <w:rFonts w:ascii="Segoe UI Historic" w:hAnsi="Segoe UI Historic" w:cs="Segoe UI Historic"/>
          <w:sz w:val="22"/>
          <w:szCs w:val="22"/>
        </w:rPr>
        <w:t>Kennzahlen zu den Kosten</w:t>
      </w:r>
    </w:p>
    <w:p w14:paraId="3E9B0B16" w14:textId="77777777" w:rsidR="00C5197E" w:rsidRPr="003C70DE" w:rsidRDefault="00C5197E" w:rsidP="00C5197E">
      <w:pPr>
        <w:pStyle w:val="AufzEinrDoppAbs"/>
        <w:ind w:left="709" w:hanging="283"/>
        <w:rPr>
          <w:rFonts w:ascii="Segoe UI Historic" w:hAnsi="Segoe UI Historic" w:cs="Segoe UI Historic"/>
          <w:sz w:val="22"/>
          <w:szCs w:val="22"/>
        </w:rPr>
      </w:pPr>
      <w:r w:rsidRPr="003C70DE">
        <w:rPr>
          <w:rFonts w:ascii="Segoe UI Historic" w:hAnsi="Segoe UI Historic" w:cs="Segoe UI Historic"/>
          <w:sz w:val="22"/>
          <w:szCs w:val="22"/>
        </w:rPr>
        <w:t>Total Expense Ratio (TER) pro Anteilsklasse</w:t>
      </w:r>
    </w:p>
    <w:p w14:paraId="5D052A73" w14:textId="77777777" w:rsidR="00C5197E" w:rsidRPr="003C70DE" w:rsidRDefault="00C5197E" w:rsidP="00C5197E">
      <w:pPr>
        <w:pStyle w:val="AufzEinrDoppAbs"/>
        <w:ind w:left="709" w:hanging="283"/>
        <w:rPr>
          <w:rFonts w:ascii="Segoe UI Historic" w:hAnsi="Segoe UI Historic" w:cs="Segoe UI Historic"/>
          <w:sz w:val="22"/>
          <w:szCs w:val="22"/>
        </w:rPr>
      </w:pPr>
      <w:r w:rsidRPr="003C70DE">
        <w:rPr>
          <w:rFonts w:ascii="Segoe UI Historic" w:hAnsi="Segoe UI Historic" w:cs="Segoe UI Historic"/>
          <w:sz w:val="22"/>
          <w:szCs w:val="22"/>
        </w:rPr>
        <w:t>Kosten für Sourcing und Servicing, welche nicht in der TER enthalten sind, soweit diese für den Produktanbieter transparent sind</w:t>
      </w:r>
      <w:r w:rsidRPr="003C70DE">
        <w:rPr>
          <w:rFonts w:ascii="Segoe UI Historic" w:hAnsi="Segoe UI Historic" w:cs="Segoe UI Historic"/>
          <w:sz w:val="22"/>
          <w:szCs w:val="22"/>
          <w:vertAlign w:val="superscript"/>
        </w:rPr>
        <w:footnoteReference w:id="4"/>
      </w:r>
      <w:r w:rsidRPr="003C70DE">
        <w:rPr>
          <w:rFonts w:ascii="Segoe UI Historic" w:hAnsi="Segoe UI Historic" w:cs="Segoe UI Historic"/>
          <w:sz w:val="22"/>
          <w:szCs w:val="22"/>
        </w:rPr>
        <w:t>. Dies soll es ermöglichen, Gefässe, bei welchen solche Kosten für Sourcing und Servicing in der TER enthalten sind, besser mit anderen Gefässen, in deren TER solche Kosten nicht enthalten sind, zu vergleichen.</w:t>
      </w:r>
    </w:p>
    <w:p w14:paraId="2A3A675A" w14:textId="248AFFBD" w:rsidR="00C5197E" w:rsidRPr="003C70DE" w:rsidRDefault="00C5197E" w:rsidP="00C5197E">
      <w:pPr>
        <w:pStyle w:val="AufzEinrDoppAbs"/>
        <w:ind w:left="709" w:hanging="283"/>
        <w:rPr>
          <w:rFonts w:ascii="Segoe UI Historic" w:hAnsi="Segoe UI Historic" w:cs="Segoe UI Historic"/>
          <w:sz w:val="22"/>
          <w:szCs w:val="22"/>
        </w:rPr>
      </w:pPr>
      <w:r w:rsidRPr="003C70DE">
        <w:rPr>
          <w:rFonts w:ascii="Segoe UI Historic" w:hAnsi="Segoe UI Historic" w:cs="Segoe UI Historic"/>
          <w:sz w:val="22"/>
          <w:szCs w:val="22"/>
        </w:rPr>
        <w:t>Anteil NAV, für den Kosten für Sourcing und/oder Servicing intransparent sind. Dies erlaubt es einzuschätzen, wie gut verschiedene Gefässe miteinander vergleichbar sind.</w:t>
      </w:r>
    </w:p>
    <w:p w14:paraId="1D9BBEEA" w14:textId="77777777" w:rsidR="00C5197E" w:rsidRPr="003C70DE" w:rsidRDefault="00C5197E" w:rsidP="00823AFE">
      <w:pPr>
        <w:pStyle w:val="AufzEinrAlpha"/>
        <w:numPr>
          <w:ilvl w:val="0"/>
          <w:numId w:val="27"/>
        </w:numPr>
        <w:spacing w:after="60"/>
        <w:ind w:left="425" w:hanging="425"/>
        <w:rPr>
          <w:rFonts w:ascii="Segoe UI Historic" w:hAnsi="Segoe UI Historic" w:cs="Segoe UI Historic"/>
          <w:sz w:val="22"/>
          <w:szCs w:val="22"/>
        </w:rPr>
      </w:pPr>
      <w:r w:rsidRPr="003C70DE">
        <w:rPr>
          <w:rFonts w:ascii="Segoe UI Historic" w:hAnsi="Segoe UI Historic" w:cs="Segoe UI Historic"/>
          <w:sz w:val="22"/>
          <w:szCs w:val="22"/>
        </w:rPr>
        <w:t>Kennzahlen zu Zahlungsausständen</w:t>
      </w:r>
    </w:p>
    <w:p w14:paraId="7AF7DAF7" w14:textId="77777777" w:rsidR="00C5197E" w:rsidRPr="003C70DE" w:rsidRDefault="00C5197E" w:rsidP="00626233">
      <w:pPr>
        <w:pStyle w:val="AufzEinrDoppAbs"/>
        <w:ind w:left="709" w:hanging="283"/>
        <w:rPr>
          <w:rFonts w:ascii="Segoe UI Historic" w:hAnsi="Segoe UI Historic" w:cs="Segoe UI Historic"/>
          <w:sz w:val="22"/>
          <w:szCs w:val="22"/>
        </w:rPr>
      </w:pPr>
      <w:r w:rsidRPr="003C70DE">
        <w:rPr>
          <w:rFonts w:ascii="Segoe UI Historic" w:hAnsi="Segoe UI Historic" w:cs="Segoe UI Historic"/>
          <w:sz w:val="22"/>
          <w:szCs w:val="22"/>
        </w:rPr>
        <w:t>Anzahl Hypothekarschuldner mit Zahlungsausständen und/oder Zahlungsverzögerungen von mehr als 90 Tagen</w:t>
      </w:r>
    </w:p>
    <w:p w14:paraId="503F1169" w14:textId="1E8BD80B" w:rsidR="00626233" w:rsidRPr="003C70DE" w:rsidRDefault="00C5197E" w:rsidP="00626233">
      <w:pPr>
        <w:pStyle w:val="AufzEinrDoppAbs"/>
        <w:ind w:left="709" w:hanging="283"/>
        <w:rPr>
          <w:rFonts w:ascii="Segoe UI Historic" w:hAnsi="Segoe UI Historic" w:cs="Segoe UI Historic"/>
          <w:sz w:val="22"/>
          <w:szCs w:val="22"/>
        </w:rPr>
      </w:pPr>
      <w:r w:rsidRPr="003C70DE">
        <w:rPr>
          <w:rFonts w:ascii="Segoe UI Historic" w:hAnsi="Segoe UI Historic" w:cs="Segoe UI Historic"/>
          <w:sz w:val="22"/>
          <w:szCs w:val="22"/>
        </w:rPr>
        <w:t>Gesamtwert der Hypotheken, die von Zahlungsausfällen oder –rückständen von mehr als 90 Tagen betroffen sind, im Verhältnis zum Gesamtwert der Hypotheken</w:t>
      </w:r>
    </w:p>
    <w:p w14:paraId="15F3FD9F" w14:textId="458E4384" w:rsidR="00C5197E" w:rsidRPr="003C70DE" w:rsidRDefault="00C5197E" w:rsidP="00626233">
      <w:pPr>
        <w:pStyle w:val="AufzEinrDoppAbs"/>
        <w:ind w:left="709" w:hanging="283"/>
        <w:rPr>
          <w:rFonts w:ascii="Segoe UI Historic" w:hAnsi="Segoe UI Historic" w:cs="Segoe UI Historic"/>
          <w:sz w:val="22"/>
          <w:szCs w:val="22"/>
        </w:rPr>
      </w:pPr>
      <w:r w:rsidRPr="003C70DE">
        <w:rPr>
          <w:rFonts w:ascii="Segoe UI Historic" w:hAnsi="Segoe UI Historic" w:cs="Segoe UI Historic"/>
          <w:sz w:val="22"/>
          <w:szCs w:val="22"/>
        </w:rPr>
        <w:t>Durchschnittliche Belehnung der von Zahlungsausfällen oder –rückständen von mehr als 90 Tagen betroffenen Hypotheken</w:t>
      </w:r>
    </w:p>
    <w:p w14:paraId="134FEF91" w14:textId="77777777" w:rsidR="00823AFE" w:rsidRPr="003C70DE" w:rsidRDefault="00823AFE" w:rsidP="00823AFE">
      <w:pPr>
        <w:pStyle w:val="berschrift1"/>
        <w:rPr>
          <w:rFonts w:ascii="Segoe UI Historic" w:hAnsi="Segoe UI Historic" w:cs="Segoe UI Historic"/>
        </w:rPr>
      </w:pPr>
      <w:r w:rsidRPr="003C70DE">
        <w:rPr>
          <w:rFonts w:ascii="Segoe UI Historic" w:hAnsi="Segoe UI Historic" w:cs="Segoe UI Historic"/>
        </w:rPr>
        <w:t>Bewertungsmethodik</w:t>
      </w:r>
    </w:p>
    <w:p w14:paraId="7CA6566E" w14:textId="0381C76A" w:rsidR="00823AFE" w:rsidRPr="003C70DE" w:rsidRDefault="00823AFE" w:rsidP="00823AFE">
      <w:pPr>
        <w:rPr>
          <w:rFonts w:ascii="Segoe UI Historic" w:hAnsi="Segoe UI Historic" w:cs="Segoe UI Historic"/>
        </w:rPr>
      </w:pPr>
      <w:r w:rsidRPr="003C70DE">
        <w:rPr>
          <w:rFonts w:ascii="Segoe UI Historic" w:hAnsi="Segoe UI Historic" w:cs="Segoe UI Historic"/>
        </w:rPr>
        <w:t>Zusätzlich empfiehlt die KGAST</w:t>
      </w:r>
      <w:r w:rsidR="003E0DFD">
        <w:rPr>
          <w:rFonts w:ascii="Segoe UI Historic" w:hAnsi="Segoe UI Historic" w:cs="Segoe UI Historic"/>
        </w:rPr>
        <w:t>,</w:t>
      </w:r>
      <w:r w:rsidRPr="003C70DE">
        <w:rPr>
          <w:rFonts w:ascii="Segoe UI Historic" w:hAnsi="Segoe UI Historic" w:cs="Segoe UI Historic"/>
        </w:rPr>
        <w:t xml:space="preserve"> folgende Angaben zu publizieren:</w:t>
      </w:r>
    </w:p>
    <w:p w14:paraId="144EA21D" w14:textId="77777777" w:rsidR="00823AFE" w:rsidRPr="003C70DE" w:rsidRDefault="00823AFE" w:rsidP="00823AFE">
      <w:pPr>
        <w:numPr>
          <w:ilvl w:val="0"/>
          <w:numId w:val="21"/>
        </w:numPr>
        <w:ind w:left="255"/>
        <w:rPr>
          <w:rFonts w:ascii="Segoe UI Historic" w:hAnsi="Segoe UI Historic" w:cs="Segoe UI Historic"/>
          <w:lang w:val="de-DE"/>
        </w:rPr>
      </w:pPr>
      <w:r w:rsidRPr="003C70DE">
        <w:rPr>
          <w:rFonts w:ascii="Segoe UI Historic" w:hAnsi="Segoe UI Historic" w:cs="Segoe UI Historic"/>
          <w:bCs/>
          <w:lang w:val="de-DE"/>
        </w:rPr>
        <w:t>Beschrieb der Bewertungsmethodik:</w:t>
      </w:r>
      <w:r w:rsidRPr="003C70DE">
        <w:rPr>
          <w:rFonts w:ascii="Segoe UI Historic" w:hAnsi="Segoe UI Historic" w:cs="Segoe UI Historic"/>
          <w:lang w:val="de-DE"/>
        </w:rPr>
        <w:t xml:space="preserve"> Der Beschrieb soll qualitativ aufzeigen, wie zentrale Punkte der Bewertungsmethodik geregelt werden. Er unterscheidet insbesondere zwischen fest und variabel verzinslichen Hypotheken.</w:t>
      </w:r>
    </w:p>
    <w:p w14:paraId="27ADF898" w14:textId="77777777" w:rsidR="00823AFE" w:rsidRPr="003C70DE" w:rsidRDefault="00823AFE" w:rsidP="00823AFE">
      <w:pPr>
        <w:numPr>
          <w:ilvl w:val="0"/>
          <w:numId w:val="21"/>
        </w:numPr>
        <w:ind w:left="255"/>
        <w:rPr>
          <w:rFonts w:ascii="Segoe UI Historic" w:hAnsi="Segoe UI Historic" w:cs="Segoe UI Historic"/>
          <w:lang w:val="de-DE"/>
        </w:rPr>
      </w:pPr>
      <w:r w:rsidRPr="003C70DE">
        <w:rPr>
          <w:rFonts w:ascii="Segoe UI Historic" w:hAnsi="Segoe UI Historic" w:cs="Segoe UI Historic"/>
          <w:bCs/>
          <w:lang w:val="de-DE"/>
        </w:rPr>
        <w:t>Performance-Kommentar: Die</w:t>
      </w:r>
      <w:r w:rsidRPr="003C70DE">
        <w:rPr>
          <w:rFonts w:ascii="Segoe UI Historic" w:hAnsi="Segoe UI Historic" w:cs="Segoe UI Historic"/>
          <w:lang w:val="de-DE"/>
        </w:rPr>
        <w:t xml:space="preserve"> Anlagestiftungen veröffentlichen halbjährlich einen Kommentar, der aufzeigt, warum sich der NAV und IRR in der stattgefundenen Zins- und Marktentwicklung gerade so entwickelt haben, wie dies in den Reports ausgewiesen wird. Die NAV- und IRR-Veränderungen sollen im Kommentar nachvollziehbar in Bezug zur Zins- und Marktentwicklung sowie zur Bewertungsmethodik (inkl. allfällige Änderungen von Bewertungsparametern) gesetzt werden.</w:t>
      </w:r>
    </w:p>
    <w:p w14:paraId="71DE2303" w14:textId="1515EEC6" w:rsidR="0062083C" w:rsidRPr="003C70DE" w:rsidRDefault="00823AFE" w:rsidP="003C70DE">
      <w:pPr>
        <w:spacing w:before="480"/>
        <w:jc w:val="center"/>
        <w:rPr>
          <w:rFonts w:ascii="Segoe UI Historic" w:hAnsi="Segoe UI Historic" w:cs="Segoe UI Historic"/>
          <w:b/>
        </w:rPr>
      </w:pPr>
      <w:r w:rsidRPr="003C70DE">
        <w:rPr>
          <w:rFonts w:ascii="Segoe UI Historic" w:eastAsiaTheme="majorEastAsia" w:hAnsi="Segoe UI Historic" w:cs="Segoe UI Historic"/>
          <w:color w:val="000000" w:themeColor="text1"/>
          <w:sz w:val="32"/>
          <w:szCs w:val="32"/>
        </w:rPr>
        <w:t>***</w:t>
      </w:r>
    </w:p>
    <w:sectPr w:rsidR="0062083C" w:rsidRPr="003C70DE" w:rsidSect="00C03489">
      <w:headerReference w:type="default" r:id="rId13"/>
      <w:footerReference w:type="default" r:id="rId14"/>
      <w:headerReference w:type="first" r:id="rId15"/>
      <w:footerReference w:type="first" r:id="rId16"/>
      <w:pgSz w:w="11906" w:h="16838"/>
      <w:pgMar w:top="2268" w:right="851" w:bottom="1134" w:left="1418" w:header="709" w:footer="28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1628F" w16cex:dateUtc="2021-04-14T10:46:00Z"/>
  <w16cex:commentExtensible w16cex:durableId="242162B1" w16cex:dateUtc="2021-04-14T10: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6F20" w14:textId="77777777" w:rsidR="00AB4714" w:rsidRDefault="00AB4714" w:rsidP="00154BD1">
      <w:pPr>
        <w:spacing w:after="0" w:line="240" w:lineRule="auto"/>
      </w:pPr>
      <w:r>
        <w:separator/>
      </w:r>
    </w:p>
  </w:endnote>
  <w:endnote w:type="continuationSeparator" w:id="0">
    <w:p w14:paraId="0EF24DF7" w14:textId="77777777" w:rsidR="00AB4714" w:rsidRDefault="00AB4714" w:rsidP="0015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emibold">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light">
    <w:altName w:val="Calibr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Light">
    <w:altName w:val="Calibri Light"/>
    <w:panose1 w:val="020B0604020202020204"/>
    <w:charset w:val="00"/>
    <w:family w:val="swiss"/>
    <w:pitch w:val="variable"/>
    <w:sig w:usb0="E4002EFF" w:usb1="C000E47F"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31BDF" w14:textId="00EAAB94" w:rsidR="00393867" w:rsidRDefault="00393867" w:rsidP="00C03489">
    <w:pPr>
      <w:pStyle w:val="Fuzeile"/>
      <w:tabs>
        <w:tab w:val="clear" w:pos="9072"/>
        <w:tab w:val="right" w:pos="9498"/>
      </w:tabs>
    </w:pPr>
    <w:r>
      <w:tab/>
    </w:r>
    <w:r>
      <w:tab/>
    </w:r>
    <w:sdt>
      <w:sdtPr>
        <w:rPr>
          <w:color w:val="808080" w:themeColor="background1" w:themeShade="80"/>
          <w:sz w:val="18"/>
          <w:szCs w:val="18"/>
        </w:rPr>
        <w:id w:val="-409459038"/>
        <w:docPartObj>
          <w:docPartGallery w:val="Page Numbers (Bottom of Page)"/>
          <w:docPartUnique/>
        </w:docPartObj>
      </w:sdtPr>
      <w:sdtEndPr>
        <w:rPr>
          <w:color w:val="auto"/>
          <w:sz w:val="22"/>
          <w:szCs w:val="22"/>
        </w:rPr>
      </w:sdtEndPr>
      <w:sdtContent>
        <w:r w:rsidRPr="00C03489">
          <w:rPr>
            <w:color w:val="808080" w:themeColor="background1" w:themeShade="80"/>
            <w:sz w:val="18"/>
            <w:szCs w:val="18"/>
          </w:rPr>
          <w:fldChar w:fldCharType="begin"/>
        </w:r>
        <w:r w:rsidRPr="00C03489">
          <w:rPr>
            <w:color w:val="808080" w:themeColor="background1" w:themeShade="80"/>
            <w:sz w:val="18"/>
            <w:szCs w:val="18"/>
          </w:rPr>
          <w:instrText>PAGE   \* MERGEFORMAT</w:instrText>
        </w:r>
        <w:r w:rsidRPr="00C03489">
          <w:rPr>
            <w:color w:val="808080" w:themeColor="background1" w:themeShade="80"/>
            <w:sz w:val="18"/>
            <w:szCs w:val="18"/>
          </w:rPr>
          <w:fldChar w:fldCharType="separate"/>
        </w:r>
        <w:r w:rsidR="003F6B63" w:rsidRPr="003F6B63">
          <w:rPr>
            <w:noProof/>
            <w:color w:val="808080" w:themeColor="background1" w:themeShade="80"/>
            <w:sz w:val="18"/>
            <w:szCs w:val="18"/>
            <w:lang w:val="de-DE"/>
          </w:rPr>
          <w:t>2</w:t>
        </w:r>
        <w:r w:rsidRPr="00C03489">
          <w:rPr>
            <w:color w:val="808080" w:themeColor="background1" w:themeShade="80"/>
            <w:sz w:val="18"/>
            <w:szCs w:val="18"/>
          </w:rPr>
          <w:fldChar w:fldCharType="end"/>
        </w:r>
      </w:sdtContent>
    </w:sdt>
  </w:p>
  <w:p w14:paraId="628114F9" w14:textId="77777777" w:rsidR="00393867" w:rsidRDefault="003938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ED836" w14:textId="77777777" w:rsidR="00393867" w:rsidRDefault="00393867">
    <w:pPr>
      <w:pStyle w:val="Fuzeile"/>
    </w:pPr>
    <w:r>
      <w:tab/>
    </w:r>
    <w:r>
      <w:tab/>
    </w:r>
  </w:p>
  <w:p w14:paraId="6F9964E2" w14:textId="77777777" w:rsidR="00393867" w:rsidRDefault="003938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63250" w14:textId="77777777" w:rsidR="00AB4714" w:rsidRDefault="00AB4714" w:rsidP="00154BD1">
      <w:pPr>
        <w:spacing w:after="0" w:line="240" w:lineRule="auto"/>
      </w:pPr>
      <w:r>
        <w:separator/>
      </w:r>
    </w:p>
  </w:footnote>
  <w:footnote w:type="continuationSeparator" w:id="0">
    <w:p w14:paraId="1A12FA58" w14:textId="77777777" w:rsidR="00AB4714" w:rsidRDefault="00AB4714" w:rsidP="00154BD1">
      <w:pPr>
        <w:spacing w:after="0" w:line="240" w:lineRule="auto"/>
      </w:pPr>
      <w:r>
        <w:continuationSeparator/>
      </w:r>
    </w:p>
  </w:footnote>
  <w:footnote w:id="1">
    <w:p w14:paraId="5D03BC5F" w14:textId="14052E7A" w:rsidR="00C5197E" w:rsidRPr="003C70DE" w:rsidRDefault="00C5197E" w:rsidP="00D149ED">
      <w:pPr>
        <w:pStyle w:val="Funotentext"/>
        <w:spacing w:after="60"/>
        <w:ind w:left="142" w:hanging="142"/>
        <w:rPr>
          <w:rFonts w:ascii="Segoe UI Historic" w:hAnsi="Segoe UI Historic" w:cs="Segoe UI Historic"/>
        </w:rPr>
      </w:pPr>
      <w:r>
        <w:rPr>
          <w:rStyle w:val="Funotenzeichen"/>
        </w:rPr>
        <w:footnoteRef/>
      </w:r>
      <w:r>
        <w:t xml:space="preserve">  </w:t>
      </w:r>
      <w:r w:rsidRPr="003C70DE">
        <w:rPr>
          <w:rFonts w:ascii="Segoe UI Historic" w:hAnsi="Segoe UI Historic" w:cs="Segoe UI Historic"/>
          <w:sz w:val="16"/>
          <w:szCs w:val="16"/>
        </w:rPr>
        <w:t>Es ist auch möglich, gemischte Liegenschaften gemäss ihrer Hauptnutzung den vorstehenden Nutzungsarten zuzuweisen. Falls möglich, soll dies in einer Fussnote vermerkt werden.</w:t>
      </w:r>
    </w:p>
  </w:footnote>
  <w:footnote w:id="2">
    <w:p w14:paraId="735E6AE4" w14:textId="75030618" w:rsidR="00C5197E" w:rsidRPr="003C70DE" w:rsidRDefault="00C5197E" w:rsidP="00D149ED">
      <w:pPr>
        <w:pStyle w:val="Funotentext"/>
        <w:spacing w:after="60"/>
        <w:ind w:left="142" w:hanging="142"/>
        <w:rPr>
          <w:rFonts w:ascii="Segoe UI Historic" w:hAnsi="Segoe UI Historic" w:cs="Segoe UI Historic"/>
        </w:rPr>
      </w:pPr>
      <w:r w:rsidRPr="003C70DE">
        <w:rPr>
          <w:rStyle w:val="Funotenzeichen"/>
          <w:rFonts w:ascii="Segoe UI Historic" w:hAnsi="Segoe UI Historic" w:cs="Segoe UI Historic"/>
        </w:rPr>
        <w:footnoteRef/>
      </w:r>
      <w:r w:rsidRPr="003C70DE">
        <w:rPr>
          <w:rFonts w:ascii="Segoe UI Historic" w:hAnsi="Segoe UI Historic" w:cs="Segoe UI Historic"/>
        </w:rPr>
        <w:t xml:space="preserve">  </w:t>
      </w:r>
      <w:r w:rsidRPr="003C70DE">
        <w:rPr>
          <w:rFonts w:ascii="Segoe UI Historic" w:hAnsi="Segoe UI Historic" w:cs="Segoe UI Historic"/>
          <w:sz w:val="16"/>
          <w:szCs w:val="16"/>
        </w:rPr>
        <w:t>Falls die Modified Duration nicht verfügbar ist, kann auch die Macaulay Duration angegeben werden. Falls möglich, soll dies bei der Bezeichnung oder in einer Fussnote vermerkt werden.</w:t>
      </w:r>
    </w:p>
  </w:footnote>
  <w:footnote w:id="3">
    <w:p w14:paraId="36166AF8" w14:textId="7D5583F1" w:rsidR="00626233" w:rsidRPr="003C70DE" w:rsidRDefault="00626233" w:rsidP="00D149ED">
      <w:pPr>
        <w:pStyle w:val="Funotentext"/>
        <w:spacing w:after="60"/>
        <w:ind w:left="142" w:hanging="142"/>
        <w:rPr>
          <w:rFonts w:ascii="Segoe UI Historic" w:hAnsi="Segoe UI Historic" w:cs="Segoe UI Historic"/>
          <w:sz w:val="16"/>
          <w:szCs w:val="16"/>
        </w:rPr>
      </w:pPr>
      <w:r w:rsidRPr="003C70DE">
        <w:rPr>
          <w:rStyle w:val="Funotenzeichen"/>
          <w:rFonts w:ascii="Segoe UI Historic" w:hAnsi="Segoe UI Historic" w:cs="Segoe UI Historic"/>
        </w:rPr>
        <w:footnoteRef/>
      </w:r>
      <w:r w:rsidRPr="003C70DE">
        <w:rPr>
          <w:rFonts w:ascii="Segoe UI Historic" w:hAnsi="Segoe UI Historic" w:cs="Segoe UI Historic"/>
        </w:rPr>
        <w:t xml:space="preserve"> </w:t>
      </w:r>
      <w:r w:rsidRPr="003C70DE">
        <w:rPr>
          <w:rFonts w:ascii="Segoe UI Historic" w:hAnsi="Segoe UI Historic" w:cs="Segoe UI Historic"/>
          <w:sz w:val="16"/>
          <w:szCs w:val="16"/>
        </w:rPr>
        <w:t>Die Kennzahl h) meint für geldmarkt-basierte Hypotheken die Laufzeit des Hypothekarvertrags und nicht die Frequenz der Zinsanpassungen. Letzteres misst die Zinssensitivität, die mit Kennzahl g) angegeben wird.</w:t>
      </w:r>
    </w:p>
  </w:footnote>
  <w:footnote w:id="4">
    <w:p w14:paraId="083799A1" w14:textId="55D8FF2A" w:rsidR="00C5197E" w:rsidRPr="003E0DFD" w:rsidRDefault="00C5197E" w:rsidP="00C5197E">
      <w:pPr>
        <w:pStyle w:val="Funotentext"/>
        <w:tabs>
          <w:tab w:val="left" w:pos="518"/>
        </w:tabs>
        <w:ind w:left="140" w:hanging="140"/>
        <w:rPr>
          <w:rFonts w:ascii="Segoe UI Historic" w:hAnsi="Segoe UI Historic" w:cs="Segoe UI Historic"/>
          <w:sz w:val="16"/>
          <w:szCs w:val="16"/>
        </w:rPr>
      </w:pPr>
      <w:r w:rsidRPr="003C70DE">
        <w:rPr>
          <w:rStyle w:val="Funotenzeichen"/>
          <w:rFonts w:ascii="Segoe UI Historic" w:hAnsi="Segoe UI Historic" w:cs="Segoe UI Historic"/>
        </w:rPr>
        <w:footnoteRef/>
      </w:r>
      <w:r w:rsidRPr="003C70DE">
        <w:rPr>
          <w:rFonts w:ascii="Segoe UI Historic" w:hAnsi="Segoe UI Historic" w:cs="Segoe UI Historic"/>
        </w:rPr>
        <w:tab/>
      </w:r>
      <w:r w:rsidRPr="003C70DE">
        <w:rPr>
          <w:rFonts w:ascii="Segoe UI Historic" w:hAnsi="Segoe UI Historic" w:cs="Segoe UI Historic"/>
          <w:sz w:val="16"/>
          <w:szCs w:val="16"/>
        </w:rPr>
        <w:t>Hypotheken können zu einem Zinssatz erworben werden, der tiefer ist als der durch den Originator mit dem Kreditnehmer vertraglich vereinbarte Zinssatz. Der Originator/Verkäufer behält die Differenz als Entschädigung für seine</w:t>
      </w:r>
      <w:r w:rsidR="003E0DFD">
        <w:rPr>
          <w:rFonts w:ascii="Segoe UI Historic" w:hAnsi="Segoe UI Historic" w:cs="Segoe UI Historic"/>
          <w:sz w:val="16"/>
          <w:szCs w:val="16"/>
        </w:rPr>
        <w:t xml:space="preserve"> </w:t>
      </w:r>
      <w:r w:rsidR="003E0DFD" w:rsidRPr="003E0DFD">
        <w:rPr>
          <w:rFonts w:ascii="Segoe UI Historic" w:hAnsi="Segoe UI Historic" w:cs="Segoe UI Historic"/>
          <w:sz w:val="16"/>
          <w:szCs w:val="16"/>
        </w:rPr>
        <w:t>Leistungen (Origination und Servicing) ein. Diese Differenz ist für den Produktanbieter je nach Geschäftsmodell des Originators nicht transparent</w:t>
      </w:r>
      <w:r w:rsidRPr="003C70DE">
        <w:rPr>
          <w:rFonts w:ascii="Segoe UI Historic" w:hAnsi="Segoe UI Historic" w:cs="Segoe UI Historic"/>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B50B" w14:textId="17C7522A" w:rsidR="00393867" w:rsidRPr="00510214" w:rsidRDefault="00393867" w:rsidP="00154BD1">
    <w:pPr>
      <w:pStyle w:val="Kopfzeile"/>
      <w:tabs>
        <w:tab w:val="clear" w:pos="4536"/>
      </w:tabs>
      <w:rPr>
        <w:sz w:val="18"/>
        <w:szCs w:val="18"/>
      </w:rPr>
    </w:pPr>
    <w:r w:rsidRPr="00825825">
      <w:rPr>
        <w:noProof/>
        <w:lang w:val="de-DE" w:eastAsia="de-DE"/>
      </w:rPr>
      <w:drawing>
        <wp:anchor distT="0" distB="0" distL="114300" distR="114300" simplePos="0" relativeHeight="251658240" behindDoc="0" locked="0" layoutInCell="1" allowOverlap="1" wp14:anchorId="7CD27662" wp14:editId="3114929A">
          <wp:simplePos x="0" y="0"/>
          <wp:positionH relativeFrom="column">
            <wp:posOffset>-560188</wp:posOffset>
          </wp:positionH>
          <wp:positionV relativeFrom="paragraph">
            <wp:posOffset>-450215</wp:posOffset>
          </wp:positionV>
          <wp:extent cx="2472651" cy="882502"/>
          <wp:effectExtent l="0" t="0" r="444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z_logo_kgast_p7530_neu"/>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1888" cy="89293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596ED6">
      <w:rPr>
        <w:color w:val="808080" w:themeColor="background1" w:themeShade="80"/>
        <w:sz w:val="18"/>
        <w:szCs w:val="18"/>
      </w:rPr>
      <w:t>KGAST-E</w:t>
    </w:r>
    <w:r w:rsidR="001258C4">
      <w:rPr>
        <w:color w:val="808080" w:themeColor="background1" w:themeShade="80"/>
        <w:sz w:val="18"/>
        <w:szCs w:val="18"/>
      </w:rPr>
      <w:t>mpfehlung zu</w:t>
    </w:r>
  </w:p>
  <w:p w14:paraId="1CCD9F2D" w14:textId="44B366E1" w:rsidR="00A432C8" w:rsidRDefault="00393867" w:rsidP="00154BD1">
    <w:pPr>
      <w:pStyle w:val="Kopfzeile"/>
      <w:tabs>
        <w:tab w:val="clear" w:pos="4536"/>
      </w:tabs>
      <w:rPr>
        <w:sz w:val="18"/>
        <w:szCs w:val="18"/>
      </w:rPr>
    </w:pPr>
    <w:r w:rsidRPr="00510214">
      <w:rPr>
        <w:sz w:val="18"/>
        <w:szCs w:val="18"/>
      </w:rPr>
      <w:tab/>
    </w:r>
    <w:r w:rsidR="00596ED6">
      <w:rPr>
        <w:color w:val="808080" w:themeColor="background1" w:themeShade="80"/>
        <w:sz w:val="18"/>
        <w:szCs w:val="18"/>
      </w:rPr>
      <w:t>Hypotheken</w:t>
    </w:r>
    <w:r w:rsidR="00C65FE8">
      <w:rPr>
        <w:color w:val="808080" w:themeColor="background1" w:themeShade="80"/>
        <w:sz w:val="18"/>
        <w:szCs w:val="18"/>
      </w:rPr>
      <w:t>-</w:t>
    </w:r>
    <w:r w:rsidR="003A4F8A">
      <w:rPr>
        <w:color w:val="808080" w:themeColor="background1" w:themeShade="80"/>
        <w:sz w:val="18"/>
        <w:szCs w:val="18"/>
      </w:rPr>
      <w:t>A</w:t>
    </w:r>
    <w:r w:rsidR="00596ED6">
      <w:rPr>
        <w:color w:val="808080" w:themeColor="background1" w:themeShade="80"/>
        <w:sz w:val="18"/>
        <w:szCs w:val="18"/>
      </w:rPr>
      <w:t>nlagegruppen</w:t>
    </w:r>
  </w:p>
  <w:p w14:paraId="31BB63DC" w14:textId="0E130C25" w:rsidR="00393867" w:rsidRPr="00510214" w:rsidRDefault="00A432C8" w:rsidP="00154BD1">
    <w:pPr>
      <w:pStyle w:val="Kopfzeile"/>
      <w:tabs>
        <w:tab w:val="clear" w:pos="4536"/>
      </w:tabs>
      <w:rPr>
        <w:sz w:val="18"/>
        <w:szCs w:val="18"/>
      </w:rPr>
    </w:pPr>
    <w:r>
      <w:rPr>
        <w:sz w:val="18"/>
        <w:szCs w:val="18"/>
      </w:rPr>
      <w:tab/>
    </w:r>
  </w:p>
  <w:p w14:paraId="7CF2B92C" w14:textId="77777777" w:rsidR="00393867" w:rsidRDefault="00393867">
    <w:pPr>
      <w:pStyle w:val="Kopfzeile"/>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4967" w14:textId="77777777" w:rsidR="00393867" w:rsidRDefault="00393867">
    <w:pPr>
      <w:pStyle w:val="Kopfzeile"/>
    </w:pPr>
    <w:r>
      <w:rPr>
        <w:noProof/>
        <w:lang w:val="de-DE" w:eastAsia="de-DE"/>
      </w:rPr>
      <w:drawing>
        <wp:anchor distT="0" distB="0" distL="114300" distR="114300" simplePos="0" relativeHeight="251660288" behindDoc="1" locked="0" layoutInCell="1" allowOverlap="1" wp14:anchorId="7D48E14D" wp14:editId="6FF8527D">
          <wp:simplePos x="0" y="0"/>
          <wp:positionH relativeFrom="margin">
            <wp:posOffset>-2209800</wp:posOffset>
          </wp:positionH>
          <wp:positionV relativeFrom="paragraph">
            <wp:posOffset>-2267585</wp:posOffset>
          </wp:positionV>
          <wp:extent cx="10700782" cy="7134225"/>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bild_Titelbla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0782" cy="7134225"/>
                  </a:xfrm>
                  <a:prstGeom prst="rect">
                    <a:avLst/>
                  </a:prstGeom>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69A"/>
    <w:multiLevelType w:val="hybridMultilevel"/>
    <w:tmpl w:val="D1F0A1E2"/>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8F5B7B"/>
    <w:multiLevelType w:val="hybridMultilevel"/>
    <w:tmpl w:val="C366C518"/>
    <w:lvl w:ilvl="0" w:tplc="AEF44A38">
      <w:start w:val="10"/>
      <w:numFmt w:val="bullet"/>
      <w:lvlText w:val="-"/>
      <w:lvlJc w:val="left"/>
      <w:pPr>
        <w:ind w:left="720" w:hanging="360"/>
      </w:pPr>
      <w:rPr>
        <w:rFonts w:ascii="Segoe UI Semibold" w:eastAsiaTheme="minorHAnsi" w:hAnsi="Segoe UI Semibold"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6C6E79"/>
    <w:multiLevelType w:val="hybridMultilevel"/>
    <w:tmpl w:val="C5A6FD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B033A5"/>
    <w:multiLevelType w:val="hybridMultilevel"/>
    <w:tmpl w:val="EB68AB6C"/>
    <w:lvl w:ilvl="0" w:tplc="08070001">
      <w:start w:val="1"/>
      <w:numFmt w:val="bullet"/>
      <w:lvlText w:val=""/>
      <w:lvlJc w:val="left"/>
      <w:pPr>
        <w:ind w:left="502"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6A7064"/>
    <w:multiLevelType w:val="hybridMultilevel"/>
    <w:tmpl w:val="FCBA31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F6097C"/>
    <w:multiLevelType w:val="hybridMultilevel"/>
    <w:tmpl w:val="BB96DF1A"/>
    <w:lvl w:ilvl="0" w:tplc="7CF64F42">
      <w:start w:val="1"/>
      <w:numFmt w:val="bullet"/>
      <w:lvlText w:val=""/>
      <w:lvlJc w:val="left"/>
      <w:pPr>
        <w:tabs>
          <w:tab w:val="num" w:pos="720"/>
        </w:tabs>
        <w:ind w:left="720" w:hanging="360"/>
      </w:pPr>
      <w:rPr>
        <w:rFonts w:ascii="Wingdings" w:hAnsi="Wingdings" w:hint="default"/>
        <w:color w:val="00000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B228B6"/>
    <w:multiLevelType w:val="hybridMultilevel"/>
    <w:tmpl w:val="6FE87C78"/>
    <w:lvl w:ilvl="0" w:tplc="878C725A">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325D68"/>
    <w:multiLevelType w:val="hybridMultilevel"/>
    <w:tmpl w:val="74488E1C"/>
    <w:lvl w:ilvl="0" w:tplc="3120F1E2">
      <w:start w:val="1"/>
      <w:numFmt w:val="bullet"/>
      <w:pStyle w:val="AufzEinrDopp"/>
      <w:lvlText w:val=""/>
      <w:lvlJc w:val="left"/>
      <w:pPr>
        <w:ind w:left="1531" w:hanging="199"/>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5F180D"/>
    <w:multiLevelType w:val="hybridMultilevel"/>
    <w:tmpl w:val="B53EB3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E05F69"/>
    <w:multiLevelType w:val="hybridMultilevel"/>
    <w:tmpl w:val="FCE8F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8A6F84"/>
    <w:multiLevelType w:val="hybridMultilevel"/>
    <w:tmpl w:val="113EED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F643237"/>
    <w:multiLevelType w:val="hybridMultilevel"/>
    <w:tmpl w:val="56243D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A5289C"/>
    <w:multiLevelType w:val="hybridMultilevel"/>
    <w:tmpl w:val="2C20172A"/>
    <w:lvl w:ilvl="0" w:tplc="08070001">
      <w:start w:val="1"/>
      <w:numFmt w:val="bullet"/>
      <w:lvlText w:val=""/>
      <w:lvlJc w:val="left"/>
      <w:pPr>
        <w:ind w:left="1776" w:hanging="360"/>
      </w:pPr>
      <w:rPr>
        <w:rFonts w:ascii="Symbol" w:hAnsi="Symbol"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13" w15:restartNumberingAfterBreak="0">
    <w:nsid w:val="476061FF"/>
    <w:multiLevelType w:val="hybridMultilevel"/>
    <w:tmpl w:val="BC9A12F6"/>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4AC1062C"/>
    <w:multiLevelType w:val="hybridMultilevel"/>
    <w:tmpl w:val="C7D258B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AEC7B20"/>
    <w:multiLevelType w:val="multilevel"/>
    <w:tmpl w:val="0A362196"/>
    <w:styleLink w:val="LAufzEinrAlpha"/>
    <w:lvl w:ilvl="0">
      <w:start w:val="1"/>
      <w:numFmt w:val="lowerLetter"/>
      <w:pStyle w:val="AufzEinrAlpha"/>
      <w:lvlText w:val="%1)"/>
      <w:lvlJc w:val="left"/>
      <w:pPr>
        <w:ind w:left="1418" w:hanging="283"/>
      </w:pPr>
    </w:lvl>
    <w:lvl w:ilvl="1">
      <w:start w:val="1"/>
      <w:numFmt w:val="bullet"/>
      <w:lvlText w:val=""/>
      <w:lvlJc w:val="left"/>
      <w:pPr>
        <w:ind w:left="1645" w:hanging="199"/>
      </w:pPr>
      <w:rPr>
        <w:rFonts w:ascii="Symbol" w:hAnsi="Symbol" w:hint="default"/>
        <w:color w:val="auto"/>
      </w:rPr>
    </w:lvl>
    <w:lvl w:ilvl="2">
      <w:start w:val="1"/>
      <w:numFmt w:val="lowerRoman"/>
      <w:lvlText w:val="%3."/>
      <w:lvlJc w:val="right"/>
      <w:pPr>
        <w:tabs>
          <w:tab w:val="num" w:pos="2274"/>
        </w:tabs>
        <w:ind w:left="2274" w:hanging="180"/>
      </w:pPr>
    </w:lvl>
    <w:lvl w:ilvl="3">
      <w:start w:val="1"/>
      <w:numFmt w:val="decimal"/>
      <w:lvlText w:val="%4."/>
      <w:lvlJc w:val="left"/>
      <w:pPr>
        <w:tabs>
          <w:tab w:val="num" w:pos="2994"/>
        </w:tabs>
        <w:ind w:left="2994" w:hanging="360"/>
      </w:pPr>
    </w:lvl>
    <w:lvl w:ilvl="4">
      <w:start w:val="1"/>
      <w:numFmt w:val="lowerLetter"/>
      <w:lvlText w:val="%5."/>
      <w:lvlJc w:val="left"/>
      <w:pPr>
        <w:tabs>
          <w:tab w:val="num" w:pos="3714"/>
        </w:tabs>
        <w:ind w:left="3714" w:hanging="360"/>
      </w:pPr>
    </w:lvl>
    <w:lvl w:ilvl="5">
      <w:start w:val="1"/>
      <w:numFmt w:val="lowerRoman"/>
      <w:lvlText w:val="%6."/>
      <w:lvlJc w:val="right"/>
      <w:pPr>
        <w:tabs>
          <w:tab w:val="num" w:pos="4434"/>
        </w:tabs>
        <w:ind w:left="4434" w:hanging="180"/>
      </w:pPr>
    </w:lvl>
    <w:lvl w:ilvl="6">
      <w:start w:val="1"/>
      <w:numFmt w:val="decimal"/>
      <w:lvlText w:val="%7."/>
      <w:lvlJc w:val="left"/>
      <w:pPr>
        <w:tabs>
          <w:tab w:val="num" w:pos="5154"/>
        </w:tabs>
        <w:ind w:left="5154" w:hanging="360"/>
      </w:pPr>
    </w:lvl>
    <w:lvl w:ilvl="7">
      <w:start w:val="1"/>
      <w:numFmt w:val="lowerLetter"/>
      <w:lvlText w:val="%8."/>
      <w:lvlJc w:val="left"/>
      <w:pPr>
        <w:tabs>
          <w:tab w:val="num" w:pos="5874"/>
        </w:tabs>
        <w:ind w:left="5874" w:hanging="360"/>
      </w:pPr>
    </w:lvl>
    <w:lvl w:ilvl="8">
      <w:start w:val="1"/>
      <w:numFmt w:val="lowerRoman"/>
      <w:lvlText w:val="%9."/>
      <w:lvlJc w:val="right"/>
      <w:pPr>
        <w:tabs>
          <w:tab w:val="num" w:pos="6594"/>
        </w:tabs>
        <w:ind w:left="6594" w:hanging="180"/>
      </w:pPr>
    </w:lvl>
  </w:abstractNum>
  <w:abstractNum w:abstractNumId="16" w15:restartNumberingAfterBreak="0">
    <w:nsid w:val="4D591586"/>
    <w:multiLevelType w:val="multilevel"/>
    <w:tmpl w:val="91E6A98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4E950253"/>
    <w:multiLevelType w:val="multilevel"/>
    <w:tmpl w:val="D38C26C2"/>
    <w:lvl w:ilvl="0">
      <w:start w:val="1"/>
      <w:numFmt w:val="decimal"/>
      <w:lvlText w:val="%1"/>
      <w:lvlJc w:val="left"/>
      <w:pPr>
        <w:ind w:left="1021" w:hanging="1021"/>
      </w:pPr>
    </w:lvl>
    <w:lvl w:ilvl="1">
      <w:start w:val="1"/>
      <w:numFmt w:val="decimal"/>
      <w:lvlText w:val="%1.%2"/>
      <w:lvlJc w:val="left"/>
      <w:pPr>
        <w:ind w:left="1021" w:hanging="1021"/>
      </w:pPr>
    </w:lvl>
    <w:lvl w:ilvl="2">
      <w:start w:val="1"/>
      <w:numFmt w:val="decimal"/>
      <w:lvlText w:val="%1.%2.%3"/>
      <w:lvlJc w:val="left"/>
      <w:pPr>
        <w:ind w:left="1021" w:hanging="1021"/>
      </w:pPr>
    </w:lvl>
    <w:lvl w:ilvl="3">
      <w:start w:val="1"/>
      <w:numFmt w:val="decimal"/>
      <w:lvlText w:val="%1.%2.%3.%4"/>
      <w:lvlJc w:val="left"/>
      <w:pPr>
        <w:ind w:left="1021" w:hanging="1021"/>
      </w:pPr>
    </w:lvl>
    <w:lvl w:ilvl="4">
      <w:start w:val="1"/>
      <w:numFmt w:val="none"/>
      <w:lvlText w:val=""/>
      <w:lvlJc w:val="left"/>
      <w:pPr>
        <w:tabs>
          <w:tab w:val="num" w:pos="1021"/>
        </w:tabs>
        <w:ind w:left="1077" w:hanging="1077"/>
      </w:pPr>
      <w:rPr>
        <w:rFonts w:asciiTheme="majorHAnsi" w:hAnsiTheme="majorHAnsi" w:cs="Times New Roman" w:hint="default"/>
        <w:b/>
        <w:i w:val="0"/>
        <w:sz w:val="24"/>
        <w:u w:color="5B9BD5" w:themeColor="accent1"/>
      </w:rPr>
    </w:lvl>
    <w:lvl w:ilvl="5">
      <w:start w:val="1"/>
      <w:numFmt w:val="none"/>
      <w:lvlText w:val=""/>
      <w:lvlJc w:val="left"/>
      <w:pPr>
        <w:ind w:left="1077" w:hanging="1077"/>
      </w:pPr>
      <w:rPr>
        <w:rFonts w:asciiTheme="majorHAnsi" w:hAnsiTheme="majorHAnsi" w:cs="Times New Roman" w:hint="default"/>
        <w:b/>
        <w:i w:val="0"/>
        <w:sz w:val="20"/>
        <w:u w:color="5B9BD5" w:themeColor="accent1"/>
      </w:rPr>
    </w:lvl>
    <w:lvl w:ilvl="6">
      <w:start w:val="1"/>
      <w:numFmt w:val="none"/>
      <w:lvlText w:val=""/>
      <w:lvlJc w:val="left"/>
      <w:pPr>
        <w:ind w:left="1077" w:hanging="1077"/>
      </w:pPr>
      <w:rPr>
        <w:rFonts w:asciiTheme="majorHAnsi" w:hAnsiTheme="majorHAnsi" w:cs="Times New Roman" w:hint="default"/>
        <w:b/>
        <w:i w:val="0"/>
        <w:sz w:val="20"/>
        <w:u w:color="000000" w:themeColor="text1"/>
      </w:rPr>
    </w:lvl>
    <w:lvl w:ilvl="7">
      <w:start w:val="1"/>
      <w:numFmt w:val="none"/>
      <w:lvlText w:val=""/>
      <w:lvlJc w:val="left"/>
      <w:pPr>
        <w:ind w:left="1077" w:hanging="1077"/>
      </w:pPr>
      <w:rPr>
        <w:rFonts w:asciiTheme="majorHAnsi" w:hAnsiTheme="majorHAnsi" w:cs="Times New Roman" w:hint="default"/>
        <w:b/>
        <w:i w:val="0"/>
        <w:sz w:val="20"/>
        <w:u w:color="000000" w:themeColor="text1"/>
      </w:rPr>
    </w:lvl>
    <w:lvl w:ilvl="8">
      <w:start w:val="1"/>
      <w:numFmt w:val="none"/>
      <w:lvlText w:val=""/>
      <w:lvlJc w:val="left"/>
      <w:pPr>
        <w:ind w:left="1077" w:hanging="1077"/>
      </w:pPr>
      <w:rPr>
        <w:rFonts w:asciiTheme="majorHAnsi" w:hAnsiTheme="majorHAnsi" w:cs="Times New Roman" w:hint="default"/>
        <w:b/>
        <w:i w:val="0"/>
        <w:sz w:val="20"/>
      </w:rPr>
    </w:lvl>
  </w:abstractNum>
  <w:abstractNum w:abstractNumId="18" w15:restartNumberingAfterBreak="0">
    <w:nsid w:val="56DB5D41"/>
    <w:multiLevelType w:val="hybridMultilevel"/>
    <w:tmpl w:val="A10A6A64"/>
    <w:lvl w:ilvl="0" w:tplc="08070001">
      <w:start w:val="1"/>
      <w:numFmt w:val="bullet"/>
      <w:lvlText w:val=""/>
      <w:lvlJc w:val="left"/>
      <w:pPr>
        <w:ind w:left="1776" w:hanging="360"/>
      </w:pPr>
      <w:rPr>
        <w:rFonts w:ascii="Symbol" w:hAnsi="Symbol"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19" w15:restartNumberingAfterBreak="0">
    <w:nsid w:val="5E3D09C5"/>
    <w:multiLevelType w:val="hybridMultilevel"/>
    <w:tmpl w:val="184467D0"/>
    <w:lvl w:ilvl="0" w:tplc="51DE0398">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6B4B16"/>
    <w:multiLevelType w:val="multilevel"/>
    <w:tmpl w:val="E5CC3EBE"/>
    <w:styleLink w:val="Formatvorlage1"/>
    <w:lvl w:ilvl="0">
      <w:start w:val="1"/>
      <w:numFmt w:val="bullet"/>
      <w:pStyle w:val="AufzEinrAbs"/>
      <w:lvlText w:val=""/>
      <w:lvlJc w:val="left"/>
      <w:pPr>
        <w:ind w:left="1304" w:hanging="255"/>
      </w:pPr>
      <w:rPr>
        <w:rFonts w:ascii="Symbol" w:hAnsi="Symbol" w:hint="default"/>
      </w:rPr>
    </w:lvl>
    <w:lvl w:ilvl="1">
      <w:start w:val="1"/>
      <w:numFmt w:val="bullet"/>
      <w:lvlText w:val=""/>
      <w:lvlJc w:val="left"/>
      <w:pPr>
        <w:ind w:left="1588" w:hanging="256"/>
      </w:pPr>
      <w:rPr>
        <w:rFonts w:ascii="Symbol" w:hAnsi="Symbol"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Times New Roman"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Times New Roman" w:hint="default"/>
      </w:rPr>
    </w:lvl>
    <w:lvl w:ilvl="8">
      <w:start w:val="1"/>
      <w:numFmt w:val="bullet"/>
      <w:lvlText w:val=""/>
      <w:lvlJc w:val="left"/>
      <w:pPr>
        <w:tabs>
          <w:tab w:val="num" w:pos="7160"/>
        </w:tabs>
        <w:ind w:left="7160" w:hanging="360"/>
      </w:pPr>
      <w:rPr>
        <w:rFonts w:ascii="Wingdings" w:hAnsi="Wingdings" w:hint="default"/>
      </w:rPr>
    </w:lvl>
  </w:abstractNum>
  <w:abstractNum w:abstractNumId="21" w15:restartNumberingAfterBreak="0">
    <w:nsid w:val="66465650"/>
    <w:multiLevelType w:val="hybridMultilevel"/>
    <w:tmpl w:val="0CE899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7E7AFC"/>
    <w:multiLevelType w:val="hybridMultilevel"/>
    <w:tmpl w:val="95905A64"/>
    <w:lvl w:ilvl="0" w:tplc="56A0AA7A">
      <w:start w:val="10"/>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15:restartNumberingAfterBreak="0">
    <w:nsid w:val="68B81692"/>
    <w:multiLevelType w:val="hybridMultilevel"/>
    <w:tmpl w:val="5DAE64D4"/>
    <w:lvl w:ilvl="0" w:tplc="04070017">
      <w:start w:val="1"/>
      <w:numFmt w:val="lowerLetter"/>
      <w:lvlText w:val="%1)"/>
      <w:lvlJc w:val="left"/>
      <w:pPr>
        <w:ind w:left="720" w:hanging="360"/>
      </w:pPr>
    </w:lvl>
    <w:lvl w:ilvl="1" w:tplc="0407000F">
      <w:start w:val="1"/>
      <w:numFmt w:val="decimal"/>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9527A3"/>
    <w:multiLevelType w:val="hybridMultilevel"/>
    <w:tmpl w:val="404C182E"/>
    <w:lvl w:ilvl="0" w:tplc="0407000F">
      <w:start w:val="1"/>
      <w:numFmt w:val="decimal"/>
      <w:lvlText w:val="%1."/>
      <w:lvlJc w:val="left"/>
      <w:pPr>
        <w:tabs>
          <w:tab w:val="num" w:pos="720"/>
        </w:tabs>
        <w:ind w:left="720" w:hanging="360"/>
      </w:pPr>
      <w:rPr>
        <w:rFonts w:hint="default"/>
      </w:rPr>
    </w:lvl>
    <w:lvl w:ilvl="1" w:tplc="0E761E72">
      <w:start w:val="1"/>
      <w:numFmt w:val="lowerRoman"/>
      <w:lvlText w:val="%2."/>
      <w:lvlJc w:val="left"/>
      <w:pPr>
        <w:tabs>
          <w:tab w:val="num" w:pos="1440"/>
        </w:tabs>
        <w:ind w:left="1440" w:hanging="360"/>
      </w:pPr>
      <w:rPr>
        <w:rFonts w:ascii="Arial" w:eastAsia="Times New Roman" w:hAnsi="Arial" w:cs="Arial"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3"/>
  </w:num>
  <w:num w:numId="3">
    <w:abstractNumId w:val="22"/>
  </w:num>
  <w:num w:numId="4">
    <w:abstractNumId w:val="24"/>
  </w:num>
  <w:num w:numId="5">
    <w:abstractNumId w:val="1"/>
  </w:num>
  <w:num w:numId="6">
    <w:abstractNumId w:val="19"/>
  </w:num>
  <w:num w:numId="7">
    <w:abstractNumId w:val="6"/>
  </w:num>
  <w:num w:numId="8">
    <w:abstractNumId w:val="5"/>
  </w:num>
  <w:num w:numId="9">
    <w:abstractNumId w:val="3"/>
  </w:num>
  <w:num w:numId="10">
    <w:abstractNumId w:val="10"/>
  </w:num>
  <w:num w:numId="11">
    <w:abstractNumId w:val="9"/>
  </w:num>
  <w:num w:numId="12">
    <w:abstractNumId w:val="0"/>
  </w:num>
  <w:num w:numId="13">
    <w:abstractNumId w:val="8"/>
  </w:num>
  <w:num w:numId="14">
    <w:abstractNumId w:val="4"/>
  </w:num>
  <w:num w:numId="15">
    <w:abstractNumId w:val="11"/>
  </w:num>
  <w:num w:numId="16">
    <w:abstractNumId w:val="13"/>
  </w:num>
  <w:num w:numId="17">
    <w:abstractNumId w:val="2"/>
  </w:num>
  <w:num w:numId="18">
    <w:abstractNumId w:val="21"/>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0"/>
  </w:num>
  <w:num w:numId="22">
    <w:abstractNumId w:val="15"/>
  </w:num>
  <w:num w:numId="2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num>
  <w:num w:numId="26">
    <w:abstractNumId w:val="1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4"/>
  </w:num>
  <w:num w:numId="30">
    <w:abstractNumId w:val="7"/>
  </w:num>
  <w:num w:numId="31">
    <w:abstractNumId w:val="16"/>
  </w:num>
  <w:num w:numId="32">
    <w:abstractNumId w:val="16"/>
  </w:num>
  <w:num w:numId="33">
    <w:abstractNumId w:val="16"/>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96"/>
    <w:rsid w:val="000025A6"/>
    <w:rsid w:val="000062C0"/>
    <w:rsid w:val="00026E8F"/>
    <w:rsid w:val="00030E46"/>
    <w:rsid w:val="00033DD0"/>
    <w:rsid w:val="00040908"/>
    <w:rsid w:val="000434EC"/>
    <w:rsid w:val="000B12F3"/>
    <w:rsid w:val="001258C4"/>
    <w:rsid w:val="00137318"/>
    <w:rsid w:val="0015227E"/>
    <w:rsid w:val="00154BD1"/>
    <w:rsid w:val="001620BB"/>
    <w:rsid w:val="001631C8"/>
    <w:rsid w:val="001719B8"/>
    <w:rsid w:val="001A157D"/>
    <w:rsid w:val="001E3504"/>
    <w:rsid w:val="001F67DD"/>
    <w:rsid w:val="00217795"/>
    <w:rsid w:val="00265E99"/>
    <w:rsid w:val="002808AE"/>
    <w:rsid w:val="00284CD1"/>
    <w:rsid w:val="00353A66"/>
    <w:rsid w:val="00364FBC"/>
    <w:rsid w:val="00393867"/>
    <w:rsid w:val="00394630"/>
    <w:rsid w:val="003A4F8A"/>
    <w:rsid w:val="003C063E"/>
    <w:rsid w:val="003C70DE"/>
    <w:rsid w:val="003E06FB"/>
    <w:rsid w:val="003E0DFD"/>
    <w:rsid w:val="003F6B63"/>
    <w:rsid w:val="004114DE"/>
    <w:rsid w:val="00430A8A"/>
    <w:rsid w:val="00510214"/>
    <w:rsid w:val="005430A2"/>
    <w:rsid w:val="00570E38"/>
    <w:rsid w:val="00596ED6"/>
    <w:rsid w:val="0062083C"/>
    <w:rsid w:val="00626233"/>
    <w:rsid w:val="006614CC"/>
    <w:rsid w:val="006632EA"/>
    <w:rsid w:val="0067427A"/>
    <w:rsid w:val="00675E9A"/>
    <w:rsid w:val="00684126"/>
    <w:rsid w:val="00690830"/>
    <w:rsid w:val="0069195C"/>
    <w:rsid w:val="006E5B7C"/>
    <w:rsid w:val="006F5107"/>
    <w:rsid w:val="007203D4"/>
    <w:rsid w:val="00731098"/>
    <w:rsid w:val="00781F08"/>
    <w:rsid w:val="00787CB9"/>
    <w:rsid w:val="007D35CE"/>
    <w:rsid w:val="00823AFE"/>
    <w:rsid w:val="00824896"/>
    <w:rsid w:val="0083447C"/>
    <w:rsid w:val="008D6AC7"/>
    <w:rsid w:val="00955E5C"/>
    <w:rsid w:val="009613B3"/>
    <w:rsid w:val="00974D60"/>
    <w:rsid w:val="00983610"/>
    <w:rsid w:val="00987F53"/>
    <w:rsid w:val="009B74D3"/>
    <w:rsid w:val="009C721A"/>
    <w:rsid w:val="009D6AA6"/>
    <w:rsid w:val="00A432C8"/>
    <w:rsid w:val="00A4779E"/>
    <w:rsid w:val="00A554CA"/>
    <w:rsid w:val="00AB4714"/>
    <w:rsid w:val="00AC4154"/>
    <w:rsid w:val="00B32987"/>
    <w:rsid w:val="00B60D0E"/>
    <w:rsid w:val="00B837DB"/>
    <w:rsid w:val="00B94D8F"/>
    <w:rsid w:val="00B97215"/>
    <w:rsid w:val="00BD25FF"/>
    <w:rsid w:val="00BD5686"/>
    <w:rsid w:val="00C03489"/>
    <w:rsid w:val="00C40CDA"/>
    <w:rsid w:val="00C51774"/>
    <w:rsid w:val="00C5197E"/>
    <w:rsid w:val="00C65FE8"/>
    <w:rsid w:val="00C736B2"/>
    <w:rsid w:val="00C8350D"/>
    <w:rsid w:val="00C9201C"/>
    <w:rsid w:val="00D1019A"/>
    <w:rsid w:val="00D149ED"/>
    <w:rsid w:val="00D736CD"/>
    <w:rsid w:val="00D7383B"/>
    <w:rsid w:val="00D860E7"/>
    <w:rsid w:val="00E55453"/>
    <w:rsid w:val="00E65C41"/>
    <w:rsid w:val="00E7587A"/>
    <w:rsid w:val="00E85631"/>
    <w:rsid w:val="00EA4168"/>
    <w:rsid w:val="00F1518F"/>
    <w:rsid w:val="00F25760"/>
    <w:rsid w:val="00F369D2"/>
    <w:rsid w:val="00F95793"/>
    <w:rsid w:val="38818A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959D88"/>
  <w15:docId w15:val="{924C8739-3719-46D4-9C4A-A0EADEB7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70E38"/>
    <w:pPr>
      <w:spacing w:line="276" w:lineRule="auto"/>
    </w:pPr>
    <w:rPr>
      <w:rFonts w:ascii="Segoe UI Semilight" w:hAnsi="Segoe UI Semilight"/>
      <w:lang w:val="de-CH"/>
    </w:rPr>
  </w:style>
  <w:style w:type="paragraph" w:styleId="berschrift1">
    <w:name w:val="heading 1"/>
    <w:basedOn w:val="Standard"/>
    <w:next w:val="Standard"/>
    <w:link w:val="berschrift1Zchn"/>
    <w:qFormat/>
    <w:rsid w:val="00570E38"/>
    <w:pPr>
      <w:keepNext/>
      <w:keepLines/>
      <w:numPr>
        <w:numId w:val="1"/>
      </w:numPr>
      <w:spacing w:before="240" w:after="0" w:line="300" w:lineRule="auto"/>
      <w:outlineLvl w:val="0"/>
    </w:pPr>
    <w:rPr>
      <w:rFonts w:eastAsiaTheme="majorEastAsia" w:cstheme="majorBidi"/>
      <w:color w:val="000000" w:themeColor="text1"/>
      <w:sz w:val="32"/>
      <w:szCs w:val="32"/>
    </w:rPr>
  </w:style>
  <w:style w:type="paragraph" w:styleId="berschrift2">
    <w:name w:val="heading 2"/>
    <w:basedOn w:val="Standard"/>
    <w:next w:val="Standard"/>
    <w:link w:val="berschrift2Zchn"/>
    <w:unhideWhenUsed/>
    <w:qFormat/>
    <w:rsid w:val="00570E38"/>
    <w:pPr>
      <w:keepNext/>
      <w:keepLines/>
      <w:numPr>
        <w:ilvl w:val="1"/>
        <w:numId w:val="1"/>
      </w:numPr>
      <w:spacing w:before="80" w:after="40"/>
      <w:ind w:left="709" w:hanging="709"/>
      <w:outlineLvl w:val="1"/>
    </w:pPr>
    <w:rPr>
      <w:rFonts w:eastAsiaTheme="majorEastAsia" w:cstheme="majorBidi"/>
      <w:color w:val="000000" w:themeColor="text1"/>
      <w:sz w:val="24"/>
      <w:szCs w:val="26"/>
    </w:rPr>
  </w:style>
  <w:style w:type="paragraph" w:styleId="berschrift3">
    <w:name w:val="heading 3"/>
    <w:basedOn w:val="Standard"/>
    <w:next w:val="Standard"/>
    <w:link w:val="berschrift3Zchn"/>
    <w:unhideWhenUsed/>
    <w:qFormat/>
    <w:rsid w:val="00570E38"/>
    <w:pPr>
      <w:keepNext/>
      <w:keepLines/>
      <w:numPr>
        <w:ilvl w:val="2"/>
        <w:numId w:val="1"/>
      </w:numPr>
      <w:spacing w:before="40" w:after="0"/>
      <w:ind w:left="709" w:hanging="709"/>
      <w:outlineLvl w:val="2"/>
    </w:pPr>
    <w:rPr>
      <w:rFonts w:eastAsiaTheme="majorEastAsia" w:cstheme="majorBidi"/>
      <w:color w:val="000000" w:themeColor="text1"/>
      <w:szCs w:val="24"/>
    </w:rPr>
  </w:style>
  <w:style w:type="paragraph" w:styleId="berschrift4">
    <w:name w:val="heading 4"/>
    <w:basedOn w:val="Standard"/>
    <w:next w:val="Standard"/>
    <w:link w:val="berschrift4Zchn"/>
    <w:uiPriority w:val="9"/>
    <w:semiHidden/>
    <w:unhideWhenUsed/>
    <w:qFormat/>
    <w:rsid w:val="00570E38"/>
    <w:pPr>
      <w:keepNext/>
      <w:keepLines/>
      <w:numPr>
        <w:ilvl w:val="3"/>
        <w:numId w:val="1"/>
      </w:numPr>
      <w:spacing w:before="40" w:after="0"/>
      <w:ind w:left="284" w:firstLine="0"/>
      <w:outlineLvl w:val="3"/>
    </w:pPr>
    <w:rPr>
      <w:rFonts w:ascii="Segoe UI Light" w:eastAsiaTheme="majorEastAsia" w:hAnsi="Segoe UI Light" w:cstheme="majorBidi"/>
      <w:i/>
      <w:iCs/>
      <w:color w:val="000000" w:themeColor="text1"/>
    </w:rPr>
  </w:style>
  <w:style w:type="paragraph" w:styleId="berschrift5">
    <w:name w:val="heading 5"/>
    <w:basedOn w:val="Standard"/>
    <w:next w:val="Standard"/>
    <w:link w:val="berschrift5Zchn"/>
    <w:uiPriority w:val="9"/>
    <w:semiHidden/>
    <w:unhideWhenUsed/>
    <w:qFormat/>
    <w:rsid w:val="00570E3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70E3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70E3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70E3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70E3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70E38"/>
    <w:pPr>
      <w:spacing w:after="0" w:line="240" w:lineRule="auto"/>
    </w:pPr>
  </w:style>
  <w:style w:type="character" w:customStyle="1" w:styleId="berschrift1Zchn">
    <w:name w:val="Überschrift 1 Zchn"/>
    <w:basedOn w:val="Absatz-Standardschriftart"/>
    <w:link w:val="berschrift1"/>
    <w:rsid w:val="00570E38"/>
    <w:rPr>
      <w:rFonts w:ascii="Segoe UI Semilight" w:eastAsiaTheme="majorEastAsia" w:hAnsi="Segoe UI Semilight" w:cstheme="majorBidi"/>
      <w:color w:val="000000" w:themeColor="text1"/>
      <w:sz w:val="32"/>
      <w:szCs w:val="32"/>
      <w:lang w:val="de-CH"/>
    </w:rPr>
  </w:style>
  <w:style w:type="character" w:customStyle="1" w:styleId="berschrift2Zchn">
    <w:name w:val="Überschrift 2 Zchn"/>
    <w:basedOn w:val="Absatz-Standardschriftart"/>
    <w:link w:val="berschrift2"/>
    <w:uiPriority w:val="9"/>
    <w:rsid w:val="00570E38"/>
    <w:rPr>
      <w:rFonts w:ascii="Segoe UI Semilight" w:eastAsiaTheme="majorEastAsia" w:hAnsi="Segoe UI Semilight" w:cstheme="majorBidi"/>
      <w:color w:val="000000" w:themeColor="text1"/>
      <w:sz w:val="24"/>
      <w:szCs w:val="26"/>
      <w:lang w:val="de-CH"/>
    </w:rPr>
  </w:style>
  <w:style w:type="character" w:customStyle="1" w:styleId="berschrift3Zchn">
    <w:name w:val="Überschrift 3 Zchn"/>
    <w:basedOn w:val="Absatz-Standardschriftart"/>
    <w:link w:val="berschrift3"/>
    <w:uiPriority w:val="9"/>
    <w:rsid w:val="00570E38"/>
    <w:rPr>
      <w:rFonts w:ascii="Segoe UI Semilight" w:eastAsiaTheme="majorEastAsia" w:hAnsi="Segoe UI Semilight" w:cstheme="majorBidi"/>
      <w:color w:val="000000" w:themeColor="text1"/>
      <w:szCs w:val="24"/>
      <w:lang w:val="de-CH"/>
    </w:rPr>
  </w:style>
  <w:style w:type="character" w:customStyle="1" w:styleId="berschrift4Zchn">
    <w:name w:val="Überschrift 4 Zchn"/>
    <w:basedOn w:val="Absatz-Standardschriftart"/>
    <w:link w:val="berschrift4"/>
    <w:uiPriority w:val="9"/>
    <w:semiHidden/>
    <w:rsid w:val="00570E38"/>
    <w:rPr>
      <w:rFonts w:ascii="Segoe UI Light" w:eastAsiaTheme="majorEastAsia" w:hAnsi="Segoe UI Light" w:cstheme="majorBidi"/>
      <w:i/>
      <w:iCs/>
      <w:color w:val="000000" w:themeColor="text1"/>
      <w:lang w:val="de-CH"/>
    </w:rPr>
  </w:style>
  <w:style w:type="character" w:customStyle="1" w:styleId="berschrift5Zchn">
    <w:name w:val="Überschrift 5 Zchn"/>
    <w:basedOn w:val="Absatz-Standardschriftart"/>
    <w:link w:val="berschrift5"/>
    <w:uiPriority w:val="9"/>
    <w:semiHidden/>
    <w:rsid w:val="00570E38"/>
    <w:rPr>
      <w:rFonts w:asciiTheme="majorHAnsi" w:eastAsiaTheme="majorEastAsia" w:hAnsiTheme="majorHAnsi" w:cstheme="majorBidi"/>
      <w:color w:val="2E74B5" w:themeColor="accent1" w:themeShade="BF"/>
      <w:lang w:val="de-CH"/>
    </w:rPr>
  </w:style>
  <w:style w:type="character" w:customStyle="1" w:styleId="berschrift6Zchn">
    <w:name w:val="Überschrift 6 Zchn"/>
    <w:basedOn w:val="Absatz-Standardschriftart"/>
    <w:link w:val="berschrift6"/>
    <w:uiPriority w:val="9"/>
    <w:semiHidden/>
    <w:rsid w:val="00570E38"/>
    <w:rPr>
      <w:rFonts w:asciiTheme="majorHAnsi" w:eastAsiaTheme="majorEastAsia" w:hAnsiTheme="majorHAnsi" w:cstheme="majorBidi"/>
      <w:color w:val="1F4D78" w:themeColor="accent1" w:themeShade="7F"/>
      <w:lang w:val="de-CH"/>
    </w:rPr>
  </w:style>
  <w:style w:type="character" w:customStyle="1" w:styleId="berschrift7Zchn">
    <w:name w:val="Überschrift 7 Zchn"/>
    <w:basedOn w:val="Absatz-Standardschriftart"/>
    <w:link w:val="berschrift7"/>
    <w:uiPriority w:val="9"/>
    <w:semiHidden/>
    <w:rsid w:val="00570E38"/>
    <w:rPr>
      <w:rFonts w:asciiTheme="majorHAnsi" w:eastAsiaTheme="majorEastAsia" w:hAnsiTheme="majorHAnsi" w:cstheme="majorBidi"/>
      <w:i/>
      <w:iCs/>
      <w:color w:val="1F4D78" w:themeColor="accent1" w:themeShade="7F"/>
      <w:lang w:val="de-CH"/>
    </w:rPr>
  </w:style>
  <w:style w:type="character" w:customStyle="1" w:styleId="berschrift8Zchn">
    <w:name w:val="Überschrift 8 Zchn"/>
    <w:basedOn w:val="Absatz-Standardschriftart"/>
    <w:link w:val="berschrift8"/>
    <w:uiPriority w:val="9"/>
    <w:semiHidden/>
    <w:rsid w:val="00570E38"/>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570E38"/>
    <w:rPr>
      <w:rFonts w:asciiTheme="majorHAnsi" w:eastAsiaTheme="majorEastAsia" w:hAnsiTheme="majorHAnsi" w:cstheme="majorBidi"/>
      <w:i/>
      <w:iCs/>
      <w:color w:val="272727" w:themeColor="text1" w:themeTint="D8"/>
      <w:sz w:val="21"/>
      <w:szCs w:val="21"/>
      <w:lang w:val="de-CH"/>
    </w:rPr>
  </w:style>
  <w:style w:type="paragraph" w:styleId="Kopfzeile">
    <w:name w:val="header"/>
    <w:basedOn w:val="Standard"/>
    <w:link w:val="KopfzeileZchn"/>
    <w:uiPriority w:val="99"/>
    <w:unhideWhenUsed/>
    <w:rsid w:val="00154B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4BD1"/>
    <w:rPr>
      <w:rFonts w:ascii="Segoe UI Semilight" w:hAnsi="Segoe UI Semilight"/>
      <w:lang w:val="de-CH"/>
    </w:rPr>
  </w:style>
  <w:style w:type="paragraph" w:styleId="Fuzeile">
    <w:name w:val="footer"/>
    <w:basedOn w:val="Standard"/>
    <w:link w:val="FuzeileZchn"/>
    <w:uiPriority w:val="99"/>
    <w:unhideWhenUsed/>
    <w:rsid w:val="00154B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4BD1"/>
    <w:rPr>
      <w:rFonts w:ascii="Segoe UI Semilight" w:hAnsi="Segoe UI Semilight"/>
      <w:lang w:val="de-CH"/>
    </w:rPr>
  </w:style>
  <w:style w:type="character" w:styleId="Platzhaltertext">
    <w:name w:val="Placeholder Text"/>
    <w:basedOn w:val="Absatz-Standardschriftart"/>
    <w:uiPriority w:val="99"/>
    <w:semiHidden/>
    <w:rsid w:val="00154BD1"/>
    <w:rPr>
      <w:color w:val="808080"/>
    </w:rPr>
  </w:style>
  <w:style w:type="paragraph" w:styleId="Titel">
    <w:name w:val="Title"/>
    <w:basedOn w:val="Standard"/>
    <w:next w:val="Standard"/>
    <w:link w:val="TitelZchn"/>
    <w:uiPriority w:val="10"/>
    <w:qFormat/>
    <w:rsid w:val="00154BD1"/>
    <w:pPr>
      <w:spacing w:after="0" w:line="240" w:lineRule="auto"/>
      <w:contextualSpacing/>
    </w:pPr>
    <w:rPr>
      <w:rFonts w:ascii="Segoe UI" w:eastAsiaTheme="majorEastAsia" w:hAnsi="Segoe UI" w:cstheme="majorBidi"/>
      <w:spacing w:val="-10"/>
      <w:kern w:val="28"/>
      <w:sz w:val="56"/>
      <w:szCs w:val="56"/>
    </w:rPr>
  </w:style>
  <w:style w:type="character" w:customStyle="1" w:styleId="TitelZchn">
    <w:name w:val="Titel Zchn"/>
    <w:basedOn w:val="Absatz-Standardschriftart"/>
    <w:link w:val="Titel"/>
    <w:uiPriority w:val="10"/>
    <w:rsid w:val="00154BD1"/>
    <w:rPr>
      <w:rFonts w:ascii="Segoe UI" w:eastAsiaTheme="majorEastAsia" w:hAnsi="Segoe UI" w:cstheme="majorBidi"/>
      <w:spacing w:val="-10"/>
      <w:kern w:val="28"/>
      <w:sz w:val="56"/>
      <w:szCs w:val="56"/>
      <w:lang w:val="de-CH"/>
    </w:rPr>
  </w:style>
  <w:style w:type="paragraph" w:styleId="Untertitel">
    <w:name w:val="Subtitle"/>
    <w:basedOn w:val="Standard"/>
    <w:next w:val="Standard"/>
    <w:link w:val="UntertitelZchn"/>
    <w:uiPriority w:val="11"/>
    <w:qFormat/>
    <w:rsid w:val="00781F08"/>
    <w:pPr>
      <w:numPr>
        <w:ilvl w:val="1"/>
      </w:numPr>
    </w:pPr>
    <w:rPr>
      <w:rFonts w:ascii="Segoe UI Semibold" w:eastAsiaTheme="minorEastAsia" w:hAnsi="Segoe UI Semibold"/>
      <w:color w:val="BBB4A2"/>
      <w:spacing w:val="15"/>
      <w:sz w:val="28"/>
    </w:rPr>
  </w:style>
  <w:style w:type="character" w:customStyle="1" w:styleId="UntertitelZchn">
    <w:name w:val="Untertitel Zchn"/>
    <w:basedOn w:val="Absatz-Standardschriftart"/>
    <w:link w:val="Untertitel"/>
    <w:uiPriority w:val="11"/>
    <w:rsid w:val="00781F08"/>
    <w:rPr>
      <w:rFonts w:ascii="Segoe UI Semibold" w:eastAsiaTheme="minorEastAsia" w:hAnsi="Segoe UI Semibold"/>
      <w:color w:val="BBB4A2"/>
      <w:spacing w:val="15"/>
      <w:sz w:val="28"/>
      <w:lang w:val="de-CH"/>
    </w:rPr>
  </w:style>
  <w:style w:type="paragraph" w:styleId="Listenabsatz">
    <w:name w:val="List Paragraph"/>
    <w:basedOn w:val="Standard"/>
    <w:uiPriority w:val="34"/>
    <w:qFormat/>
    <w:rsid w:val="00824896"/>
    <w:pPr>
      <w:ind w:left="720"/>
      <w:contextualSpacing/>
    </w:pPr>
  </w:style>
  <w:style w:type="table" w:styleId="Tabellenraster">
    <w:name w:val="Table Grid"/>
    <w:basedOn w:val="NormaleTabelle"/>
    <w:uiPriority w:val="39"/>
    <w:rsid w:val="00B32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29"/>
    <w:rsid w:val="0067427A"/>
    <w:pPr>
      <w:spacing w:after="0" w:line="240" w:lineRule="auto"/>
    </w:pPr>
    <w:rPr>
      <w:rFonts w:ascii="Arial" w:eastAsia="Times New Roman" w:hAnsi="Arial" w:cs="Times New Roman"/>
      <w:sz w:val="20"/>
      <w:szCs w:val="20"/>
      <w:lang w:eastAsia="de-CH"/>
    </w:rPr>
  </w:style>
  <w:style w:type="character" w:customStyle="1" w:styleId="FunotentextZchn">
    <w:name w:val="Fußnotentext Zchn"/>
    <w:basedOn w:val="Absatz-Standardschriftart"/>
    <w:link w:val="Funotentext"/>
    <w:uiPriority w:val="29"/>
    <w:rsid w:val="0067427A"/>
    <w:rPr>
      <w:rFonts w:ascii="Arial" w:eastAsia="Times New Roman" w:hAnsi="Arial" w:cs="Times New Roman"/>
      <w:sz w:val="20"/>
      <w:szCs w:val="20"/>
      <w:lang w:val="de-CH" w:eastAsia="de-CH"/>
    </w:rPr>
  </w:style>
  <w:style w:type="paragraph" w:customStyle="1" w:styleId="FarbigeListe-Akzent11">
    <w:name w:val="Farbige Liste - Akzent 11"/>
    <w:basedOn w:val="Standard"/>
    <w:uiPriority w:val="34"/>
    <w:qFormat/>
    <w:rsid w:val="009C721A"/>
    <w:pPr>
      <w:spacing w:after="0" w:line="240" w:lineRule="auto"/>
      <w:ind w:left="708"/>
    </w:pPr>
    <w:rPr>
      <w:rFonts w:ascii="Arial" w:eastAsia="Times New Roman" w:hAnsi="Arial" w:cs="Times New Roman"/>
      <w:lang w:eastAsia="de-CH"/>
    </w:rPr>
  </w:style>
  <w:style w:type="paragraph" w:styleId="Sprechblasentext">
    <w:name w:val="Balloon Text"/>
    <w:basedOn w:val="Standard"/>
    <w:link w:val="SprechblasentextZchn"/>
    <w:uiPriority w:val="99"/>
    <w:semiHidden/>
    <w:unhideWhenUsed/>
    <w:rsid w:val="009D6AA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D6AA6"/>
    <w:rPr>
      <w:rFonts w:ascii="Lucida Grande" w:hAnsi="Lucida Grande" w:cs="Lucida Grande"/>
      <w:sz w:val="18"/>
      <w:szCs w:val="18"/>
      <w:lang w:val="de-CH"/>
    </w:rPr>
  </w:style>
  <w:style w:type="character" w:styleId="Funotenzeichen">
    <w:name w:val="footnote reference"/>
    <w:basedOn w:val="Absatz-Standardschriftart"/>
    <w:uiPriority w:val="29"/>
    <w:semiHidden/>
    <w:unhideWhenUsed/>
    <w:rsid w:val="00D736CD"/>
    <w:rPr>
      <w:vertAlign w:val="superscript"/>
    </w:rPr>
  </w:style>
  <w:style w:type="paragraph" w:styleId="Dokumentstruktur">
    <w:name w:val="Document Map"/>
    <w:basedOn w:val="Standard"/>
    <w:link w:val="DokumentstrukturZchn"/>
    <w:uiPriority w:val="99"/>
    <w:semiHidden/>
    <w:unhideWhenUsed/>
    <w:rsid w:val="001258C4"/>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1258C4"/>
    <w:rPr>
      <w:rFonts w:ascii="Times New Roman" w:hAnsi="Times New Roman" w:cs="Times New Roman"/>
      <w:sz w:val="24"/>
      <w:szCs w:val="24"/>
      <w:lang w:val="de-CH"/>
    </w:rPr>
  </w:style>
  <w:style w:type="paragraph" w:customStyle="1" w:styleId="AufzEinrAbs">
    <w:name w:val="Aufz Einr Abs"/>
    <w:basedOn w:val="Standard"/>
    <w:uiPriority w:val="2"/>
    <w:qFormat/>
    <w:rsid w:val="00B60D0E"/>
    <w:pPr>
      <w:numPr>
        <w:numId w:val="20"/>
      </w:numPr>
      <w:spacing w:line="260" w:lineRule="atLeast"/>
      <w:jc w:val="both"/>
    </w:pPr>
    <w:rPr>
      <w:rFonts w:ascii="Verdana" w:eastAsia="Times New Roman" w:hAnsi="Verdana" w:cs="Times New Roman"/>
      <w:color w:val="000000"/>
      <w:sz w:val="19"/>
      <w:szCs w:val="24"/>
      <w:lang w:val="de-DE" w:eastAsia="de-DE"/>
    </w:rPr>
  </w:style>
  <w:style w:type="paragraph" w:customStyle="1" w:styleId="AufzEinrAlpha">
    <w:name w:val="Aufz Einr Alpha"/>
    <w:uiPriority w:val="9"/>
    <w:qFormat/>
    <w:rsid w:val="00B60D0E"/>
    <w:pPr>
      <w:numPr>
        <w:numId w:val="22"/>
      </w:numPr>
      <w:spacing w:line="260" w:lineRule="atLeast"/>
      <w:ind w:left="1305" w:hanging="284"/>
      <w:jc w:val="both"/>
    </w:pPr>
    <w:rPr>
      <w:rFonts w:ascii="Verdana" w:eastAsia="Times New Roman" w:hAnsi="Verdana" w:cs="Times New Roman"/>
      <w:sz w:val="19"/>
      <w:szCs w:val="24"/>
      <w:lang w:val="de-CH" w:eastAsia="de-DE"/>
    </w:rPr>
  </w:style>
  <w:style w:type="numbering" w:customStyle="1" w:styleId="Formatvorlage1">
    <w:name w:val="Formatvorlage1"/>
    <w:uiPriority w:val="99"/>
    <w:rsid w:val="00B60D0E"/>
    <w:pPr>
      <w:numPr>
        <w:numId w:val="20"/>
      </w:numPr>
    </w:pPr>
  </w:style>
  <w:style w:type="numbering" w:customStyle="1" w:styleId="LAufzEinrAlpha">
    <w:name w:val="L Aufz Einr Alpha"/>
    <w:uiPriority w:val="99"/>
    <w:rsid w:val="00B60D0E"/>
    <w:pPr>
      <w:numPr>
        <w:numId w:val="22"/>
      </w:numPr>
    </w:pPr>
  </w:style>
  <w:style w:type="character" w:styleId="Kommentarzeichen">
    <w:name w:val="annotation reference"/>
    <w:basedOn w:val="Absatz-Standardschriftart"/>
    <w:uiPriority w:val="99"/>
    <w:semiHidden/>
    <w:unhideWhenUsed/>
    <w:rsid w:val="003A4F8A"/>
    <w:rPr>
      <w:sz w:val="16"/>
      <w:szCs w:val="16"/>
    </w:rPr>
  </w:style>
  <w:style w:type="paragraph" w:styleId="Kommentartext">
    <w:name w:val="annotation text"/>
    <w:basedOn w:val="Standard"/>
    <w:link w:val="KommentartextZchn"/>
    <w:uiPriority w:val="99"/>
    <w:semiHidden/>
    <w:unhideWhenUsed/>
    <w:rsid w:val="003A4F8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A4F8A"/>
    <w:rPr>
      <w:rFonts w:ascii="Segoe UI Semilight" w:hAnsi="Segoe UI Semilight"/>
      <w:sz w:val="20"/>
      <w:szCs w:val="20"/>
      <w:lang w:val="de-CH"/>
    </w:rPr>
  </w:style>
  <w:style w:type="paragraph" w:styleId="Kommentarthema">
    <w:name w:val="annotation subject"/>
    <w:basedOn w:val="Kommentartext"/>
    <w:next w:val="Kommentartext"/>
    <w:link w:val="KommentarthemaZchn"/>
    <w:uiPriority w:val="99"/>
    <w:semiHidden/>
    <w:unhideWhenUsed/>
    <w:rsid w:val="003A4F8A"/>
    <w:rPr>
      <w:b/>
      <w:bCs/>
    </w:rPr>
  </w:style>
  <w:style w:type="character" w:customStyle="1" w:styleId="KommentarthemaZchn">
    <w:name w:val="Kommentarthema Zchn"/>
    <w:basedOn w:val="KommentartextZchn"/>
    <w:link w:val="Kommentarthema"/>
    <w:uiPriority w:val="99"/>
    <w:semiHidden/>
    <w:rsid w:val="003A4F8A"/>
    <w:rPr>
      <w:rFonts w:ascii="Segoe UI Semilight" w:hAnsi="Segoe UI Semilight"/>
      <w:b/>
      <w:bCs/>
      <w:sz w:val="20"/>
      <w:szCs w:val="20"/>
      <w:lang w:val="de-CH"/>
    </w:rPr>
  </w:style>
  <w:style w:type="paragraph" w:customStyle="1" w:styleId="AufzEinrDopp">
    <w:name w:val="Aufz Einr Dopp"/>
    <w:uiPriority w:val="9"/>
    <w:rsid w:val="00C5197E"/>
    <w:pPr>
      <w:numPr>
        <w:numId w:val="28"/>
      </w:numPr>
      <w:spacing w:after="0" w:line="260" w:lineRule="atLeast"/>
    </w:pPr>
    <w:rPr>
      <w:rFonts w:ascii="Verdana" w:eastAsia="Times New Roman" w:hAnsi="Verdana" w:cs="Times New Roman"/>
      <w:sz w:val="19"/>
      <w:szCs w:val="20"/>
      <w:lang w:val="de-CH" w:eastAsia="de-DE"/>
    </w:rPr>
  </w:style>
  <w:style w:type="paragraph" w:customStyle="1" w:styleId="AufzEinrDoppAbs">
    <w:name w:val="Aufz Einr Dopp Abs"/>
    <w:basedOn w:val="AufzEinrDopp"/>
    <w:uiPriority w:val="4"/>
    <w:rsid w:val="00C5197E"/>
    <w:pPr>
      <w:spacing w:after="160"/>
    </w:pPr>
  </w:style>
  <w:style w:type="paragraph" w:customStyle="1" w:styleId="EinrAbs">
    <w:name w:val="Einr Abs"/>
    <w:basedOn w:val="Standard"/>
    <w:uiPriority w:val="1"/>
    <w:qFormat/>
    <w:rsid w:val="00C5197E"/>
    <w:pPr>
      <w:spacing w:line="260" w:lineRule="atLeast"/>
      <w:ind w:left="1021"/>
      <w:jc w:val="both"/>
    </w:pPr>
    <w:rPr>
      <w:rFonts w:ascii="Verdana" w:eastAsia="Times New Roman" w:hAnsi="Verdana" w:cs="Times New Roman"/>
      <w:color w:val="000000"/>
      <w:sz w:val="19"/>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5012">
      <w:bodyDiv w:val="1"/>
      <w:marLeft w:val="0"/>
      <w:marRight w:val="0"/>
      <w:marTop w:val="0"/>
      <w:marBottom w:val="0"/>
      <w:divBdr>
        <w:top w:val="none" w:sz="0" w:space="0" w:color="auto"/>
        <w:left w:val="none" w:sz="0" w:space="0" w:color="auto"/>
        <w:bottom w:val="none" w:sz="0" w:space="0" w:color="auto"/>
        <w:right w:val="none" w:sz="0" w:space="0" w:color="auto"/>
      </w:divBdr>
    </w:div>
    <w:div w:id="120876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TaxonomyItemSynchronousAddedEventReceiver</Name>
    <Synchronization>Default</Synchronization>
    <Type>1</Type>
    <SequenceNumber>10000</SequenceNumber>
    <Url/>
    <Assembly>Microsoft.SharePoint.Taxonomy, Version=15.0.0.0, Culture=neutral, PublicKeyToken=71e9bce111e9429c</Assembly>
    <Class>Microsoft.SharePoint.Taxonomy.TaxonomyItemEventReceiver</Class>
    <Data/>
    <Filter/>
  </Receiver>
  <Receiver>
    <Name>TaxonomyItemUpdatingEventReceiver</Name>
    <Synchronization>Default</Synchronization>
    <Type>2</Type>
    <SequenceNumber>10000</SequenceNumber>
    <Url/>
    <Assembly>Microsoft.SharePoint.Taxonomy, Version=15.0.0.0, Culture=neutral, PublicKeyToken=71e9bce111e9429c</Assembly>
    <Class>Microsoft.SharePoint.Taxonomy.TaxonomyItemEventReceiver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CHZKBCollabClassification xmlns="677b3343-92a5-45f9-9ff7-62bc7a01833c">vertraulich</CHZKBCollabClassification>
    <CHZKBCompulsaryArchiving xmlns="677b3343-92a5-45f9-9ff7-62bc7a01833c">Nein</CHZKBCompulsaryArchiving>
    <Ratings xmlns="http://schemas.microsoft.com/sharepoint/v3" xsi:nil="true"/>
    <LikedBy xmlns="http://schemas.microsoft.com/sharepoint/v3">
      <UserInfo>
        <DisplayName/>
        <AccountId xsi:nil="true"/>
        <AccountType/>
      </UserInfo>
    </LikedBy>
    <TopicLastRatedOrLikedBy xmlns="http://schemas.microsoft.com/sharepoint/v3">
      <UserInfo>
        <DisplayName/>
        <AccountId xsi:nil="true"/>
        <AccountType/>
      </UserInfo>
    </TopicLastRatedOrLikedBy>
    <TaxKeywordTaxHTField xmlns="c4a57c97-a0df-4b1d-9bdd-e665ed41d6ad">
      <Terms xmlns="http://schemas.microsoft.com/office/infopath/2007/PartnerControls"/>
    </TaxKeywordTaxHTField>
    <TaxCatchAll xmlns="c4a57c97-a0df-4b1d-9bdd-e665ed41d6ad"/>
  </documentManagement>
</p:properties>
</file>

<file path=customXml/item4.xml><?xml version="1.0" encoding="utf-8"?>
<ct:contentTypeSchema xmlns:ct="http://schemas.microsoft.com/office/2006/metadata/contentType" xmlns:ma="http://schemas.microsoft.com/office/2006/metadata/properties/metaAttributes" ct:_="" ma:_="" ma:contentTypeName="ZKB Dokument" ma:contentTypeID="0x010100453230FA4F0A4480A7D4C20E59632440008AAEB3268DC87143A10BAC01F4B84DF5" ma:contentTypeVersion="3" ma:contentTypeDescription="" ma:contentTypeScope="" ma:versionID="d6701577add9657b21763c39cce30201">
  <xsd:schema xmlns:xsd="http://www.w3.org/2001/XMLSchema" xmlns:xs="http://www.w3.org/2001/XMLSchema" xmlns:p="http://schemas.microsoft.com/office/2006/metadata/properties" xmlns:ns1="http://schemas.microsoft.com/sharepoint/v3" xmlns:ns2="677b3343-92a5-45f9-9ff7-62bc7a01833c" xmlns:ns3="c4a57c97-a0df-4b1d-9bdd-e665ed41d6ad" targetNamespace="http://schemas.microsoft.com/office/2006/metadata/properties" ma:root="true" ma:fieldsID="e25aeaaf0347c3f9f2d9f71ad5e6e5ba" ns1:_="" ns2:_="" ns3:_="">
    <xsd:import namespace="http://schemas.microsoft.com/sharepoint/v3"/>
    <xsd:import namespace="677b3343-92a5-45f9-9ff7-62bc7a01833c"/>
    <xsd:import namespace="c4a57c97-a0df-4b1d-9bdd-e665ed41d6ad"/>
    <xsd:element name="properties">
      <xsd:complexType>
        <xsd:sequence>
          <xsd:element name="documentManagement">
            <xsd:complexType>
              <xsd:all>
                <xsd:element ref="ns2:CHZKBCompulsaryArchiving"/>
                <xsd:element ref="ns2:CHZKBCollabClassification"/>
                <xsd:element ref="ns2:CHZKBSP2013FrameworkNewPublication" minOccurs="0"/>
                <xsd:element ref="ns1:Ratings" minOccurs="0"/>
                <xsd:element ref="ns1:LikesCount" minOccurs="0"/>
                <xsd:element ref="ns1:LikedBy" minOccurs="0"/>
                <xsd:element ref="ns1:Popularity" minOccurs="0"/>
                <xsd:element ref="ns1:DescendantLikesCount" minOccurs="0"/>
                <xsd:element ref="ns1:TopicLastRatedOrLikedBy" minOccurs="0"/>
                <xsd:element ref="ns3:TaxKeywordTaxHTField" minOccurs="0"/>
                <xsd:element ref="ns3:TaxCatchAll" minOccurs="0"/>
                <xsd:element ref="ns3:TaxCatchAllLabe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ings" ma:index="11" nillable="true" ma:displayName="Benutzerbewertungen" ma:description="Bewertungen für das Element" ma:hidden="true" ma:internalName="Ratings">
      <xsd:simpleType>
        <xsd:restriction base="dms:Note"/>
      </xsd:simpleType>
    </xsd:element>
    <xsd:element name="LikesCount" ma:index="12" nillable="true" ma:displayName="Anzahl 'Gefällt mir'" ma:internalName="LikesCount">
      <xsd:simpleType>
        <xsd:restriction base="dms:Unknown"/>
      </xsd:simpleType>
    </xsd:element>
    <xsd:element name="LikedBy" ma:index="13" nillable="true" ma:displayName="Gefäll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pularity" ma:index="14" nillable="true" ma:displayName="Beliebtheit" ma:indexed="true" ma:internalName="Popularity" ma:readOnly="true">
      <xsd:simpleType>
        <xsd:restriction base="dms:Number"/>
      </xsd:simpleType>
    </xsd:element>
    <xsd:element name="DescendantLikesCount" ma:index="15" nillable="true" ma:displayName="Aggregierte Anzahl 'Gefällt mir'" ma:internalName="DescendantLikesCount" ma:readOnly="true">
      <xsd:simpleType>
        <xsd:restriction base="dms:Unknown"/>
      </xsd:simpleType>
    </xsd:element>
    <xsd:element name="TopicLastRatedOrLikedBy" ma:index="16" nillable="true" ma:displayName="Letzte Aktualisierung des Themas durch" ma:hidden="true" ma:list="UserInfo" ma:internalName="TopicLastRatedOrLik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7b3343-92a5-45f9-9ff7-62bc7a01833c" elementFormDefault="qualified">
    <xsd:import namespace="http://schemas.microsoft.com/office/2006/documentManagement/types"/>
    <xsd:import namespace="http://schemas.microsoft.com/office/infopath/2007/PartnerControls"/>
    <xsd:element name="CHZKBCompulsaryArchiving" ma:index="8" ma:displayName="Archivierungspflichtig" ma:default="Nein" ma:format="RadioButtons" ma:internalName="CHZKBCompulsaryArchiving">
      <xsd:simpleType>
        <xsd:restriction base="dms:Choice">
          <xsd:enumeration value="Ja"/>
          <xsd:enumeration value="Nein"/>
        </xsd:restriction>
      </xsd:simpleType>
    </xsd:element>
    <xsd:element name="CHZKBCollabClassification" ma:index="9" ma:displayName="Klassifizierung" ma:default="vertraulich" ma:format="Dropdown" ma:indexed="true" ma:internalName="CHZKBCollabClassification">
      <xsd:simpleType>
        <xsd:restriction base="dms:Choice">
          <xsd:enumeration value="öffentlich"/>
          <xsd:enumeration value="intern"/>
          <xsd:enumeration value="vertraulich"/>
          <xsd:enumeration value="streng vertraulich"/>
        </xsd:restriction>
      </xsd:simpleType>
    </xsd:element>
    <xsd:element name="CHZKBSP2013FrameworkNewPublication" ma:index="10" nillable="true" ma:displayName="Neupublikation" ma:internalName="CHZKBSP2013FrameworkNewPublication"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a57c97-a0df-4b1d-9bdd-e665ed41d6ad"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Unternehmensstichwörter" ma:fieldId="{23f27201-bee3-471e-b2e7-b64fd8b7ca38}" ma:taxonomyMulti="true" ma:sspId="1d9b6674-6eb9-4253-8064-49927d6c4271"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description="" ma:hidden="true" ma:list="{54b6bd0b-e275-4788-8a6c-c6d98adf4375}" ma:internalName="TaxCatchAll" ma:showField="CatchAllData" ma:web="c4a57c97-a0df-4b1d-9bdd-e665ed41d6ad">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description="" ma:hidden="true" ma:list="{54b6bd0b-e275-4788-8a6c-c6d98adf4375}" ma:internalName="TaxCatchAllLabel" ma:readOnly="true" ma:showField="CatchAllDataLabel" ma:web="c4a57c97-a0df-4b1d-9bdd-e665ed41d6ad">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Wert der Dokument-ID" ma:description="Der Wert der diesem Element zugewiesenen Dokument-ID." ma:internalName="_dlc_DocId" ma:readOnly="true">
      <xsd:simpleType>
        <xsd:restriction base="dms:Text"/>
      </xsd:simpleType>
    </xsd:element>
    <xsd:element name="_dlc_DocIdUrl" ma:index="22"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93CF7-BC7A-4A06-8BB7-E4B29A43E236}">
  <ds:schemaRefs>
    <ds:schemaRef ds:uri="http://schemas.microsoft.com/sharepoint/events"/>
  </ds:schemaRefs>
</ds:datastoreItem>
</file>

<file path=customXml/itemProps2.xml><?xml version="1.0" encoding="utf-8"?>
<ds:datastoreItem xmlns:ds="http://schemas.openxmlformats.org/officeDocument/2006/customXml" ds:itemID="{99D19AD7-ECB0-4E48-92C3-2DDF48F8E4EB}">
  <ds:schemaRefs>
    <ds:schemaRef ds:uri="http://schemas.microsoft.com/sharepoint/v3/contenttype/forms"/>
  </ds:schemaRefs>
</ds:datastoreItem>
</file>

<file path=customXml/itemProps3.xml><?xml version="1.0" encoding="utf-8"?>
<ds:datastoreItem xmlns:ds="http://schemas.openxmlformats.org/officeDocument/2006/customXml" ds:itemID="{6251133E-D5DD-401A-97D7-8D42D5EADC37}">
  <ds:schemaRefs>
    <ds:schemaRef ds:uri="http://schemas.microsoft.com/office/2006/metadata/properties"/>
    <ds:schemaRef ds:uri="http://schemas.microsoft.com/office/infopath/2007/PartnerControls"/>
    <ds:schemaRef ds:uri="http://schemas.microsoft.com/sharepoint/v3"/>
    <ds:schemaRef ds:uri="677b3343-92a5-45f9-9ff7-62bc7a01833c"/>
    <ds:schemaRef ds:uri="c4a57c97-a0df-4b1d-9bdd-e665ed41d6ad"/>
  </ds:schemaRefs>
</ds:datastoreItem>
</file>

<file path=customXml/itemProps4.xml><?xml version="1.0" encoding="utf-8"?>
<ds:datastoreItem xmlns:ds="http://schemas.openxmlformats.org/officeDocument/2006/customXml" ds:itemID="{47901D2D-0216-415B-8DCF-70068A3B1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7b3343-92a5-45f9-9ff7-62bc7a01833c"/>
    <ds:schemaRef ds:uri="c4a57c97-a0df-4b1d-9bdd-e665ed41d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59FC99-400E-614B-B006-F9E9EE46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2936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Sarah Müller</dc:creator>
  <cp:keywords/>
  <dc:description/>
  <cp:lastModifiedBy>Roland Kriemler</cp:lastModifiedBy>
  <cp:revision>2</cp:revision>
  <cp:lastPrinted>2021-05-13T17:30:00Z</cp:lastPrinted>
  <dcterms:created xsi:type="dcterms:W3CDTF">2021-05-13T18:07:00Z</dcterms:created>
  <dcterms:modified xsi:type="dcterms:W3CDTF">2021-05-13T18:07:00Z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0x010100453230FA4F0A4480A7D4C20E59632440008AAEB3268DC87143A10BAC01F4B84DF5</vt:lpwstr>
  </property>
  <property fmtid="{D5CDD505-2E9C-101B-9397-08002B2CF9AE}" pid="3" name="TaxKeyword">
    <vt:lpwstr/>
  </property>
</Properties>
</file>