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654B" w14:textId="3AC82230" w:rsidR="0031280C" w:rsidRDefault="000E22ED" w:rsidP="00986151">
      <w:pPr>
        <w:pBdr>
          <w:bottom w:val="single" w:sz="36" w:space="0" w:color="auto"/>
        </w:pBdr>
        <w:ind w:right="7081"/>
        <w:rPr>
          <w:rFonts w:ascii="Arial" w:hAnsi="Arial" w:cs="Arial"/>
          <w:sz w:val="20"/>
          <w:szCs w:val="20"/>
        </w:rPr>
      </w:pPr>
      <w:r w:rsidRPr="00E20C87">
        <w:rPr>
          <w:noProof/>
          <w:lang w:val="de-DE" w:eastAsia="de-DE"/>
        </w:rPr>
        <w:drawing>
          <wp:inline distT="0" distB="0" distL="0" distR="0" wp14:anchorId="2AD46D98" wp14:editId="327D381C">
            <wp:extent cx="2232660" cy="800100"/>
            <wp:effectExtent l="19050" t="0" r="0" b="0"/>
            <wp:docPr id="1" name="Bild 1" descr="rz_logo_kgast_p7530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z_logo_kgast_p7530_ne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29528D" w14:textId="77777777" w:rsidR="00986151" w:rsidRDefault="00986151" w:rsidP="009861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1A1A1A"/>
          <w:lang w:val="de-DE"/>
        </w:rPr>
      </w:pPr>
    </w:p>
    <w:p w14:paraId="510415F0" w14:textId="77777777" w:rsidR="00DB7BB3" w:rsidRPr="000E22ED" w:rsidRDefault="00DB7BB3" w:rsidP="009861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1A1A1A"/>
          <w:lang w:val="de-DE"/>
        </w:rPr>
      </w:pPr>
      <w:r w:rsidRPr="000E22ED">
        <w:rPr>
          <w:rFonts w:ascii="Arial" w:hAnsi="Arial" w:cs="Arial"/>
          <w:b/>
          <w:bCs/>
          <w:color w:val="1A1A1A"/>
          <w:lang w:val="de-DE"/>
        </w:rPr>
        <w:t>Neues Rechnungslegungsrecht (</w:t>
      </w:r>
      <w:proofErr w:type="spellStart"/>
      <w:r w:rsidRPr="000E22ED">
        <w:rPr>
          <w:rFonts w:ascii="Arial" w:hAnsi="Arial" w:cs="Arial"/>
          <w:b/>
          <w:bCs/>
          <w:color w:val="1A1A1A"/>
          <w:lang w:val="de-DE"/>
        </w:rPr>
        <w:t>nRLG</w:t>
      </w:r>
      <w:proofErr w:type="spellEnd"/>
      <w:r w:rsidRPr="000E22ED">
        <w:rPr>
          <w:rFonts w:ascii="Arial" w:hAnsi="Arial" w:cs="Arial"/>
          <w:b/>
          <w:bCs/>
          <w:color w:val="1A1A1A"/>
          <w:lang w:val="de-DE"/>
        </w:rPr>
        <w:t>)</w:t>
      </w:r>
    </w:p>
    <w:p w14:paraId="59555191" w14:textId="6EE73878" w:rsidR="00FB575A" w:rsidRPr="000E22ED" w:rsidRDefault="00DB7BB3" w:rsidP="009861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1"/>
          <w:szCs w:val="21"/>
          <w:lang w:val="de-DE"/>
        </w:rPr>
      </w:pPr>
      <w:r w:rsidRPr="000E22ED">
        <w:rPr>
          <w:rFonts w:ascii="Arial" w:hAnsi="Arial" w:cs="Arial"/>
          <w:color w:val="1A1A1A"/>
          <w:lang w:val="de-DE"/>
        </w:rPr>
        <w:t>Mit In-Kraft-Treten der angepassten OR Bestimmungen (OR 959 ff.) zu den Rechnungslegungs</w:t>
      </w:r>
      <w:r w:rsidR="00552B29">
        <w:rPr>
          <w:rFonts w:ascii="Arial" w:hAnsi="Arial" w:cs="Arial"/>
          <w:color w:val="1A1A1A"/>
          <w:lang w:val="de-DE"/>
        </w:rPr>
        <w:t>-</w:t>
      </w:r>
      <w:r w:rsidRPr="000E22ED">
        <w:rPr>
          <w:rFonts w:ascii="Arial" w:hAnsi="Arial" w:cs="Arial"/>
          <w:color w:val="1A1A1A"/>
          <w:lang w:val="de-DE"/>
        </w:rPr>
        <w:t>vorschriften, anzuwenden ab 1.1.2015, ist die Frage aufgetaucht, ob die Anlagestiftungen (und auch die Pensionskassen) sich an den neuen Vorgaben (wie zum Beispiel Lagebericht und /oder Mittelflussrechnung) zu orientieren hätten. Die KGAST stellt sich auf den Standpunkt, dass die Bestimmungen aus der BVV 2 und der ASV den OR Bestimmungen vorgehen (</w:t>
      </w:r>
      <w:proofErr w:type="spellStart"/>
      <w:r w:rsidRPr="000E22ED">
        <w:rPr>
          <w:rFonts w:ascii="Arial" w:hAnsi="Arial" w:cs="Arial"/>
          <w:color w:val="1A1A1A"/>
          <w:lang w:val="de-DE"/>
        </w:rPr>
        <w:t>lex</w:t>
      </w:r>
      <w:proofErr w:type="spellEnd"/>
      <w:r w:rsidRPr="000E22ED">
        <w:rPr>
          <w:rFonts w:ascii="Arial" w:hAnsi="Arial" w:cs="Arial"/>
          <w:color w:val="1A1A1A"/>
          <w:lang w:val="de-DE"/>
        </w:rPr>
        <w:t xml:space="preserve"> specialis </w:t>
      </w:r>
      <w:proofErr w:type="spellStart"/>
      <w:r w:rsidRPr="000E22ED">
        <w:rPr>
          <w:rFonts w:ascii="Arial" w:hAnsi="Arial" w:cs="Arial"/>
          <w:color w:val="1A1A1A"/>
          <w:lang w:val="de-DE"/>
        </w:rPr>
        <w:t>derogat</w:t>
      </w:r>
      <w:proofErr w:type="spellEnd"/>
      <w:r w:rsidRPr="000E22ED">
        <w:rPr>
          <w:rFonts w:ascii="Arial" w:hAnsi="Arial" w:cs="Arial"/>
          <w:color w:val="1A1A1A"/>
          <w:lang w:val="de-DE"/>
        </w:rPr>
        <w:t xml:space="preserve"> </w:t>
      </w:r>
      <w:proofErr w:type="spellStart"/>
      <w:r w:rsidRPr="000E22ED">
        <w:rPr>
          <w:rFonts w:ascii="Arial" w:hAnsi="Arial" w:cs="Arial"/>
          <w:color w:val="1A1A1A"/>
          <w:lang w:val="de-DE"/>
        </w:rPr>
        <w:t>lex</w:t>
      </w:r>
      <w:proofErr w:type="spellEnd"/>
      <w:r w:rsidRPr="000E22ED">
        <w:rPr>
          <w:rFonts w:ascii="Arial" w:hAnsi="Arial" w:cs="Arial"/>
          <w:color w:val="1A1A1A"/>
          <w:lang w:val="de-DE"/>
        </w:rPr>
        <w:t xml:space="preserve"> </w:t>
      </w:r>
      <w:proofErr w:type="spellStart"/>
      <w:r w:rsidRPr="000E22ED">
        <w:rPr>
          <w:rFonts w:ascii="Arial" w:hAnsi="Arial" w:cs="Arial"/>
          <w:color w:val="1A1A1A"/>
          <w:lang w:val="de-DE"/>
        </w:rPr>
        <w:t>generalis</w:t>
      </w:r>
      <w:proofErr w:type="spellEnd"/>
      <w:r w:rsidRPr="000E22ED">
        <w:rPr>
          <w:rFonts w:ascii="Arial" w:hAnsi="Arial" w:cs="Arial"/>
          <w:color w:val="1A1A1A"/>
          <w:lang w:val="de-DE"/>
        </w:rPr>
        <w:t>). Mit anderen Worten: Die Anlagestiftungen müssen weiterhin die Bestimmungen der ASV und der BVV 2 einhalten. Es ergibt sich kein weiterer Handlungsbedarf aufgrund der OR Änderungen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.</w:t>
      </w:r>
    </w:p>
    <w:p w14:paraId="5A981B79" w14:textId="77777777" w:rsidR="000E22ED" w:rsidRPr="000E22ED" w:rsidRDefault="000E22ED" w:rsidP="009861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1"/>
          <w:szCs w:val="21"/>
          <w:lang w:val="de-DE"/>
        </w:rPr>
      </w:pPr>
    </w:p>
    <w:p w14:paraId="7CBCED52" w14:textId="5E93790F" w:rsidR="000E22ED" w:rsidRPr="000E22ED" w:rsidRDefault="000E22ED" w:rsidP="009861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1A1A1A"/>
          <w:lang w:val="de-DE"/>
        </w:rPr>
      </w:pPr>
      <w:r w:rsidRPr="000E22ED">
        <w:rPr>
          <w:rFonts w:ascii="Arial" w:hAnsi="Arial" w:cs="Arial"/>
          <w:b/>
          <w:bCs/>
          <w:color w:val="1A1A1A"/>
          <w:lang w:val="de-DE"/>
        </w:rPr>
        <w:t>Weitergehende Informationen</w:t>
      </w:r>
    </w:p>
    <w:p w14:paraId="58FB37CA" w14:textId="353E1A3A" w:rsidR="00552B29" w:rsidRDefault="002122C0" w:rsidP="009861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1"/>
          <w:szCs w:val="21"/>
          <w:lang w:val="de-DE"/>
        </w:rPr>
      </w:pPr>
      <w:r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Die neuen Rechnungslegungsvorschriften sind 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für </w:t>
      </w:r>
      <w:r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Anlagestiftungen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- trotz des Verweises in der ASV</w:t>
      </w:r>
      <w:r w:rsidR="00986151">
        <w:rPr>
          <w:rStyle w:val="Funotenzeichen"/>
          <w:rFonts w:ascii="Arial" w:hAnsi="Arial" w:cs="Arial"/>
          <w:color w:val="000000" w:themeColor="text1"/>
          <w:sz w:val="21"/>
          <w:szCs w:val="21"/>
          <w:lang w:val="de-DE"/>
        </w:rPr>
        <w:footnoteReference w:id="1"/>
      </w:r>
      <w:r w:rsidR="00986151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- 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nicht anzuwenden</w:t>
      </w:r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. 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BVV2 Art. 47 </w:t>
      </w:r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>Art. 2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besagt, dass SWISS GAAP FER 26 anzuwenden sei. </w:t>
      </w:r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>I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n der ASV </w:t>
      </w:r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bestehen 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Rechnungslegungsvorschriften in den Abs. 2 bis 8 des Art. 38 (mit Weisungsbefugnis…eine der vielen „Kann-Be</w:t>
      </w:r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>stimmungen“ in der ASV). Von dieser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Weisungsbefugnis hat die OAK bereits Gebrauch gemacht (Kennzahlen, Kosten). </w:t>
      </w:r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Gem. ASV 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Art. 35 </w:t>
      </w:r>
      <w:proofErr w:type="spellStart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lit</w:t>
      </w:r>
      <w:proofErr w:type="spellEnd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. f, wonach wichtige Ereignisse, Geschäfte und Beschlüsse im Jahresbericht publiziert werden müssen</w:t>
      </w:r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, bestehen bereits Vorschriften, die einen ähnlichen Regelungsbestand haben, wie die </w:t>
      </w:r>
      <w:proofErr w:type="spellStart"/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>nRLG</w:t>
      </w:r>
      <w:proofErr w:type="spellEnd"/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zum Lagebericht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. </w:t>
      </w:r>
    </w:p>
    <w:p w14:paraId="5BD11C49" w14:textId="77777777" w:rsidR="00BC3873" w:rsidRDefault="00BC3873" w:rsidP="009861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1"/>
          <w:szCs w:val="21"/>
          <w:lang w:val="de-DE"/>
        </w:rPr>
      </w:pPr>
    </w:p>
    <w:p w14:paraId="2BD04FD4" w14:textId="1D83B07D" w:rsidR="00FB575A" w:rsidRPr="000E22ED" w:rsidRDefault="00552B29" w:rsidP="009861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1"/>
          <w:szCs w:val="21"/>
          <w:lang w:val="de-DE"/>
        </w:rPr>
      </w:pPr>
      <w:r>
        <w:rPr>
          <w:rFonts w:ascii="Arial" w:hAnsi="Arial" w:cs="Arial"/>
          <w:color w:val="000000" w:themeColor="text1"/>
          <w:sz w:val="21"/>
          <w:szCs w:val="21"/>
          <w:lang w:val="de-DE"/>
        </w:rPr>
        <w:t>Die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Bestimmungen im BVG/</w:t>
      </w:r>
      <w:r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in der 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BVV</w:t>
      </w:r>
      <w:r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2 und der 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ASV </w:t>
      </w:r>
      <w:r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gehen 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als </w:t>
      </w:r>
      <w:proofErr w:type="spellStart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lex</w:t>
      </w:r>
      <w:proofErr w:type="spellEnd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specialis dem </w:t>
      </w:r>
      <w:proofErr w:type="spellStart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lex</w:t>
      </w:r>
      <w:proofErr w:type="spellEnd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</w:t>
      </w:r>
      <w:proofErr w:type="spellStart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generalis</w:t>
      </w:r>
      <w:proofErr w:type="spellEnd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(die </w:t>
      </w:r>
      <w:proofErr w:type="spellStart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nRL</w:t>
      </w:r>
      <w:proofErr w:type="spellEnd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im OR) vor. </w:t>
      </w:r>
      <w:r>
        <w:rPr>
          <w:rFonts w:ascii="Arial" w:hAnsi="Arial" w:cs="Arial"/>
          <w:color w:val="000000" w:themeColor="text1"/>
          <w:sz w:val="21"/>
          <w:szCs w:val="21"/>
          <w:lang w:val="de-DE"/>
        </w:rPr>
        <w:t>So kann d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ie </w:t>
      </w:r>
      <w:r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Vorschrift 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im OR zum Lagebericht deshalb nicht als ergänzend oder erweiternd aufgefasst werden. Sie stehen höchstens in </w:t>
      </w:r>
      <w:r w:rsidR="00FB575A" w:rsidRPr="000E22ED">
        <w:rPr>
          <w:rFonts w:ascii="Arial" w:hAnsi="Arial" w:cs="Arial"/>
          <w:i/>
          <w:iCs/>
          <w:color w:val="000000" w:themeColor="text1"/>
          <w:sz w:val="21"/>
          <w:szCs w:val="21"/>
          <w:lang w:val="de-DE"/>
        </w:rPr>
        <w:t>Konkurrenz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, nicht in </w:t>
      </w:r>
      <w:r w:rsidR="00FB575A" w:rsidRPr="000E22ED">
        <w:rPr>
          <w:rFonts w:ascii="Arial" w:hAnsi="Arial" w:cs="Arial"/>
          <w:i/>
          <w:iCs/>
          <w:color w:val="000000" w:themeColor="text1"/>
          <w:sz w:val="21"/>
          <w:szCs w:val="21"/>
          <w:lang w:val="de-DE"/>
        </w:rPr>
        <w:t>Subsidiarität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, </w:t>
      </w:r>
      <w:r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zu den bestehenden Vorschriften aus ASV und BVV 2. </w:t>
      </w:r>
    </w:p>
    <w:p w14:paraId="719348B6" w14:textId="66C13C80" w:rsidR="00FB575A" w:rsidRPr="000E22ED" w:rsidRDefault="00FB575A" w:rsidP="009861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1"/>
          <w:szCs w:val="21"/>
          <w:lang w:val="de-DE"/>
        </w:rPr>
      </w:pPr>
    </w:p>
    <w:p w14:paraId="17A56EA5" w14:textId="0037025A" w:rsidR="00FB575A" w:rsidRPr="000E22ED" w:rsidRDefault="00FB575A" w:rsidP="009861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1"/>
          <w:szCs w:val="21"/>
          <w:lang w:val="de-DE"/>
        </w:rPr>
      </w:pPr>
      <w:r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Zudem ist es auch sachlich nicht begründet, eine </w:t>
      </w:r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detailliertere </w:t>
      </w:r>
      <w:r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Geldflussrechnung bei den A</w:t>
      </w:r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>nlage</w:t>
      </w:r>
      <w:r w:rsidR="00BC3873">
        <w:rPr>
          <w:rFonts w:ascii="Arial" w:hAnsi="Arial" w:cs="Arial"/>
          <w:color w:val="000000" w:themeColor="text1"/>
          <w:sz w:val="21"/>
          <w:szCs w:val="21"/>
          <w:lang w:val="de-DE"/>
        </w:rPr>
        <w:t>-</w:t>
      </w:r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>stiftungen</w:t>
      </w:r>
      <w:r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einzuführen. Dies ist wohl sinnvoll bei </w:t>
      </w:r>
      <w:proofErr w:type="spellStart"/>
      <w:r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Corporates</w:t>
      </w:r>
      <w:proofErr w:type="spellEnd"/>
      <w:r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, nicht aber bei A</w:t>
      </w:r>
      <w:r w:rsidR="00552B29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nlagestiftungen </w:t>
      </w:r>
      <w:r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mit ihrem Stammvermögen und den einzelnen Anlagegruppen. </w:t>
      </w:r>
    </w:p>
    <w:p w14:paraId="2E626679" w14:textId="77777777" w:rsidR="00FB575A" w:rsidRPr="000E22ED" w:rsidRDefault="00FB575A" w:rsidP="009861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1"/>
          <w:szCs w:val="21"/>
          <w:lang w:val="de-DE"/>
        </w:rPr>
      </w:pPr>
    </w:p>
    <w:p w14:paraId="16EFB8D5" w14:textId="5DC97F9C" w:rsidR="0031280C" w:rsidRPr="000E22ED" w:rsidRDefault="00552B29" w:rsidP="009861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1"/>
          <w:szCs w:val="21"/>
          <w:lang w:val="de-DE"/>
        </w:rPr>
      </w:pPr>
      <w:r>
        <w:rPr>
          <w:rFonts w:ascii="Arial" w:hAnsi="Arial" w:cs="Arial"/>
          <w:color w:val="000000" w:themeColor="text1"/>
          <w:sz w:val="21"/>
          <w:szCs w:val="21"/>
          <w:lang w:val="de-DE"/>
        </w:rPr>
        <w:t>Die Thematik wurde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i</w:t>
      </w:r>
      <w:bookmarkStart w:id="0" w:name="_GoBack"/>
      <w:bookmarkEnd w:id="0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n der Fachkommission der Treuhandkammer </w:t>
      </w:r>
      <w:r>
        <w:rPr>
          <w:rFonts w:ascii="Arial" w:hAnsi="Arial" w:cs="Arial"/>
          <w:color w:val="000000" w:themeColor="text1"/>
          <w:sz w:val="21"/>
          <w:szCs w:val="21"/>
          <w:lang w:val="de-DE"/>
        </w:rPr>
        <w:t>nur am Rande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kurz aufgenommen. Es gibt keine offizielle Stellungnahme, weil die </w:t>
      </w:r>
      <w:proofErr w:type="spellStart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>nRLG</w:t>
      </w:r>
      <w:proofErr w:type="spellEnd"/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lang w:val="de-DE"/>
        </w:rPr>
        <w:t>- w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ie oben beschrieben </w:t>
      </w:r>
      <w:r>
        <w:rPr>
          <w:rFonts w:ascii="Arial" w:hAnsi="Arial" w:cs="Arial"/>
          <w:color w:val="000000" w:themeColor="text1"/>
          <w:sz w:val="21"/>
          <w:szCs w:val="21"/>
          <w:lang w:val="de-DE"/>
        </w:rPr>
        <w:t>– den OR Bestimmungen vorgehe</w:t>
      </w:r>
      <w:r w:rsidR="00FB575A" w:rsidRPr="000E22ED">
        <w:rPr>
          <w:rFonts w:ascii="Arial" w:hAnsi="Arial" w:cs="Arial"/>
          <w:color w:val="000000" w:themeColor="text1"/>
          <w:sz w:val="21"/>
          <w:szCs w:val="21"/>
          <w:lang w:val="de-DE"/>
        </w:rPr>
        <w:t xml:space="preserve">. </w:t>
      </w:r>
    </w:p>
    <w:p w14:paraId="65A1CEDE" w14:textId="77777777" w:rsidR="00F02978" w:rsidRPr="008B6CDA" w:rsidRDefault="00F02978" w:rsidP="00F02978">
      <w:pPr>
        <w:pBdr>
          <w:bottom w:val="single" w:sz="36" w:space="1" w:color="auto"/>
        </w:pBdr>
        <w:ind w:right="7081"/>
        <w:rPr>
          <w:rFonts w:ascii="Arial" w:hAnsi="Arial" w:cs="Arial"/>
          <w:sz w:val="20"/>
          <w:szCs w:val="20"/>
        </w:rPr>
      </w:pPr>
    </w:p>
    <w:p w14:paraId="781957EB" w14:textId="58189AC1" w:rsidR="004824F8" w:rsidRPr="00552B29" w:rsidRDefault="00552B29" w:rsidP="004824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 w:themeColor="text1" w:themeTint="80"/>
          <w:sz w:val="16"/>
          <w:szCs w:val="16"/>
          <w:lang w:val="de-DE"/>
        </w:rPr>
      </w:pPr>
      <w:r w:rsidRPr="00552B29">
        <w:rPr>
          <w:rFonts w:ascii="Arial" w:hAnsi="Arial" w:cs="Arial"/>
          <w:color w:val="7F7F7F" w:themeColor="text1" w:themeTint="80"/>
          <w:sz w:val="16"/>
          <w:szCs w:val="16"/>
          <w:lang w:val="de-DE"/>
        </w:rPr>
        <w:t>201</w:t>
      </w:r>
      <w:r w:rsidR="00DC4B91">
        <w:rPr>
          <w:rFonts w:ascii="Arial" w:hAnsi="Arial" w:cs="Arial"/>
          <w:color w:val="7F7F7F" w:themeColor="text1" w:themeTint="80"/>
          <w:sz w:val="16"/>
          <w:szCs w:val="16"/>
          <w:lang w:val="de-DE"/>
        </w:rPr>
        <w:t>5</w:t>
      </w:r>
      <w:r w:rsidRPr="00552B29">
        <w:rPr>
          <w:rFonts w:ascii="Arial" w:hAnsi="Arial" w:cs="Arial"/>
          <w:color w:val="7F7F7F" w:themeColor="text1" w:themeTint="80"/>
          <w:sz w:val="16"/>
          <w:szCs w:val="16"/>
          <w:lang w:val="de-DE"/>
        </w:rPr>
        <w:t>0628</w:t>
      </w:r>
    </w:p>
    <w:sectPr w:rsidR="004824F8" w:rsidRPr="00552B29" w:rsidSect="00552B29"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7A99E" w14:textId="77777777" w:rsidR="00493699" w:rsidRDefault="00493699" w:rsidP="00986151">
      <w:pPr>
        <w:spacing w:after="0" w:line="240" w:lineRule="auto"/>
      </w:pPr>
      <w:r>
        <w:separator/>
      </w:r>
    </w:p>
  </w:endnote>
  <w:endnote w:type="continuationSeparator" w:id="0">
    <w:p w14:paraId="5A58E4B2" w14:textId="77777777" w:rsidR="00493699" w:rsidRDefault="00493699" w:rsidP="0098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837A9" w14:textId="77777777" w:rsidR="00493699" w:rsidRDefault="00493699" w:rsidP="00986151">
      <w:pPr>
        <w:spacing w:after="0" w:line="240" w:lineRule="auto"/>
      </w:pPr>
      <w:r>
        <w:separator/>
      </w:r>
    </w:p>
  </w:footnote>
  <w:footnote w:type="continuationSeparator" w:id="0">
    <w:p w14:paraId="4C323E95" w14:textId="77777777" w:rsidR="00493699" w:rsidRDefault="00493699" w:rsidP="00986151">
      <w:pPr>
        <w:spacing w:after="0" w:line="240" w:lineRule="auto"/>
      </w:pPr>
      <w:r>
        <w:continuationSeparator/>
      </w:r>
    </w:p>
  </w:footnote>
  <w:footnote w:id="1">
    <w:p w14:paraId="2B0A9F5C" w14:textId="4BB4C3B6" w:rsidR="00986151" w:rsidRDefault="0098615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86151">
        <w:rPr>
          <w:sz w:val="16"/>
          <w:szCs w:val="16"/>
        </w:rPr>
        <w:t xml:space="preserve">ASV </w:t>
      </w:r>
      <w:r w:rsidRPr="00986151">
        <w:rPr>
          <w:rFonts w:ascii="Arial" w:hAnsi="Arial" w:cs="Arial"/>
          <w:color w:val="000000" w:themeColor="text1"/>
          <w:sz w:val="16"/>
          <w:szCs w:val="16"/>
          <w:lang w:val="de-DE"/>
        </w:rPr>
        <w:t>Art. 38 Art. 2 verweist auf BVV 2 Art. 47;  Art. 47 Abs. 4 besagt, dass „im Übrigen OR Art. 957 bis 964 gelten.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A2"/>
    <w:rsid w:val="000E22ED"/>
    <w:rsid w:val="001A778F"/>
    <w:rsid w:val="002122C0"/>
    <w:rsid w:val="0031280C"/>
    <w:rsid w:val="00367B1E"/>
    <w:rsid w:val="004824F8"/>
    <w:rsid w:val="00493699"/>
    <w:rsid w:val="00552B29"/>
    <w:rsid w:val="008F4BB4"/>
    <w:rsid w:val="00986151"/>
    <w:rsid w:val="00BA7EA2"/>
    <w:rsid w:val="00BC3873"/>
    <w:rsid w:val="00D925A2"/>
    <w:rsid w:val="00DB7BB3"/>
    <w:rsid w:val="00DC4B91"/>
    <w:rsid w:val="00DF09BD"/>
    <w:rsid w:val="00F02978"/>
    <w:rsid w:val="00FB575A"/>
    <w:rsid w:val="00F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D21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D925A2"/>
    <w:rPr>
      <w:color w:val="0000FF" w:themeColor="hyperlink"/>
      <w:u w:val="single"/>
    </w:rPr>
  </w:style>
  <w:style w:type="paragraph" w:customStyle="1" w:styleId="Text">
    <w:name w:val="Text"/>
    <w:rsid w:val="0031280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Arial Unicode MS" w:hAnsi="Arial Unicode MS" w:cs="Arial Unicode MS"/>
      <w:color w:val="000000"/>
      <w:sz w:val="20"/>
      <w:szCs w:val="20"/>
      <w:bdr w:val="nil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986151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86151"/>
    <w:rPr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986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2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9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0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6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8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5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1903</Characters>
  <Application>Microsoft Macintosh Word</Application>
  <DocSecurity>0</DocSecurity>
  <Lines>37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Ein Microsoft Office-Anwender</cp:lastModifiedBy>
  <cp:revision>3</cp:revision>
  <cp:lastPrinted>2015-06-25T21:50:00Z</cp:lastPrinted>
  <dcterms:created xsi:type="dcterms:W3CDTF">2015-06-29T08:10:00Z</dcterms:created>
  <dcterms:modified xsi:type="dcterms:W3CDTF">2015-06-29T08:10:00Z</dcterms:modified>
</cp:coreProperties>
</file>