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9B3B" w14:textId="085714B9" w:rsidR="004801B1" w:rsidRDefault="003F6577" w:rsidP="004801B1">
      <w:pPr>
        <w:pStyle w:val="Listenabsatz"/>
        <w:ind w:left="0"/>
        <w:jc w:val="both"/>
        <w:rPr>
          <w:rFonts w:ascii="Arial" w:hAnsi="Arial" w:cs="Arial"/>
          <w:b/>
          <w:sz w:val="28"/>
          <w:szCs w:val="28"/>
        </w:rPr>
      </w:pPr>
      <w:r>
        <w:rPr>
          <w:rFonts w:ascii="Arial" w:hAnsi="Arial" w:cs="Arial"/>
          <w:b/>
          <w:bCs/>
          <w:sz w:val="24"/>
          <w:szCs w:val="24"/>
          <w:lang w:val="de-DE" w:eastAsia="de-DE"/>
        </w:rPr>
        <w:t xml:space="preserve">Interner </w:t>
      </w:r>
      <w:r w:rsidR="004801B1">
        <w:rPr>
          <w:rFonts w:ascii="Arial" w:hAnsi="Arial" w:cs="Arial"/>
          <w:b/>
          <w:bCs/>
          <w:sz w:val="24"/>
          <w:szCs w:val="24"/>
          <w:lang w:val="de-DE" w:eastAsia="de-DE"/>
        </w:rPr>
        <w:t xml:space="preserve">Kommentar zu </w:t>
      </w:r>
      <w:r w:rsidR="004801B1" w:rsidRPr="00502608">
        <w:rPr>
          <w:rFonts w:ascii="Arial" w:hAnsi="Arial" w:cs="Arial"/>
          <w:b/>
          <w:bCs/>
          <w:sz w:val="24"/>
          <w:szCs w:val="24"/>
          <w:lang w:val="de-DE" w:eastAsia="de-DE"/>
        </w:rPr>
        <w:t xml:space="preserve">Weisungen Nr. 01/2016 vom 01.09.2016 </w:t>
      </w:r>
      <w:r w:rsidR="004801B1" w:rsidRPr="00502608">
        <w:rPr>
          <w:rFonts w:ascii="Arial" w:hAnsi="Arial" w:cs="Arial"/>
          <w:b/>
          <w:sz w:val="28"/>
          <w:szCs w:val="28"/>
        </w:rPr>
        <w:t>der OAK BV</w:t>
      </w:r>
    </w:p>
    <w:p w14:paraId="292FFD47" w14:textId="2E3F5BBA" w:rsidR="004801B1" w:rsidRPr="00E23675" w:rsidRDefault="00E23675" w:rsidP="004801B1">
      <w:pPr>
        <w:pStyle w:val="Listenabsatz"/>
        <w:ind w:left="0"/>
        <w:jc w:val="both"/>
        <w:rPr>
          <w:rFonts w:ascii="Arial" w:hAnsi="Arial" w:cs="Arial"/>
          <w:sz w:val="20"/>
          <w:szCs w:val="20"/>
        </w:rPr>
      </w:pPr>
      <w:r w:rsidRPr="00E23675">
        <w:rPr>
          <w:rFonts w:ascii="Arial" w:hAnsi="Arial" w:cs="Arial"/>
          <w:sz w:val="20"/>
          <w:szCs w:val="20"/>
        </w:rPr>
        <w:t>19.9.2016</w:t>
      </w:r>
    </w:p>
    <w:p w14:paraId="31145447" w14:textId="77777777" w:rsidR="004801B1" w:rsidRPr="00502608" w:rsidRDefault="004801B1" w:rsidP="00E23675">
      <w:pPr>
        <w:numPr>
          <w:ilvl w:val="0"/>
          <w:numId w:val="1"/>
        </w:numPr>
        <w:spacing w:before="480"/>
        <w:ind w:left="357" w:hanging="357"/>
        <w:jc w:val="both"/>
        <w:rPr>
          <w:rFonts w:ascii="Arial" w:hAnsi="Arial" w:cs="Arial"/>
          <w:b/>
        </w:rPr>
      </w:pPr>
      <w:r w:rsidRPr="00502608">
        <w:rPr>
          <w:rFonts w:ascii="Arial" w:hAnsi="Arial" w:cs="Arial"/>
          <w:b/>
        </w:rPr>
        <w:t>Einleitung</w:t>
      </w:r>
    </w:p>
    <w:p w14:paraId="73F1E635" w14:textId="1C91E9BA" w:rsidR="004801B1" w:rsidRPr="00502608" w:rsidRDefault="004801B1" w:rsidP="004801B1">
      <w:pPr>
        <w:jc w:val="both"/>
        <w:rPr>
          <w:rFonts w:ascii="Arial" w:hAnsi="Arial" w:cs="Arial"/>
        </w:rPr>
      </w:pPr>
      <w:r w:rsidRPr="00502608">
        <w:rPr>
          <w:rFonts w:ascii="Arial" w:hAnsi="Arial" w:cs="Arial"/>
        </w:rPr>
        <w:t>Die OAK hat am 24. August 2016 die neue Weisung „Anforderungen an Anlagestiftungen“ publiziert und per 1. September 2016 in Kraft gesetzt (mit einer Übergangsfrist von zwei Jahren</w:t>
      </w:r>
      <w:r>
        <w:rPr>
          <w:rFonts w:ascii="Arial" w:hAnsi="Arial" w:cs="Arial"/>
        </w:rPr>
        <w:t>, also bis zum 31. August 2018</w:t>
      </w:r>
      <w:r w:rsidRPr="00502608">
        <w:rPr>
          <w:rFonts w:ascii="Arial" w:hAnsi="Arial" w:cs="Arial"/>
        </w:rPr>
        <w:t xml:space="preserve">). Sie enthält in erster Linie Ausführungen </w:t>
      </w:r>
      <w:r w:rsidR="00C2645B">
        <w:rPr>
          <w:rFonts w:ascii="Arial" w:hAnsi="Arial" w:cs="Arial"/>
        </w:rPr>
        <w:t xml:space="preserve">zu </w:t>
      </w:r>
      <w:r w:rsidRPr="00502608">
        <w:rPr>
          <w:rFonts w:ascii="Arial" w:hAnsi="Arial" w:cs="Arial"/>
        </w:rPr>
        <w:t>Governance Bestimmungen aus der BVV 2 und der ASV, geht aber in Teilen auch darüber hinaus, indem neue Pflichten eingeführt werden, welche schon in den V</w:t>
      </w:r>
      <w:r w:rsidR="00F7700B">
        <w:rPr>
          <w:rFonts w:ascii="Arial" w:hAnsi="Arial" w:cs="Arial"/>
        </w:rPr>
        <w:t>erordnung</w:t>
      </w:r>
      <w:r w:rsidRPr="00502608">
        <w:rPr>
          <w:rFonts w:ascii="Arial" w:hAnsi="Arial" w:cs="Arial"/>
        </w:rPr>
        <w:t xml:space="preserve"> mindestens ansatzweise hätten bestehen müssen. </w:t>
      </w:r>
    </w:p>
    <w:p w14:paraId="221964DC" w14:textId="3FC47CB9" w:rsidR="004801B1" w:rsidRPr="00502608" w:rsidRDefault="004801B1" w:rsidP="004801B1">
      <w:pPr>
        <w:jc w:val="both"/>
        <w:rPr>
          <w:rFonts w:ascii="Arial" w:hAnsi="Arial" w:cs="Arial"/>
        </w:rPr>
      </w:pPr>
      <w:r w:rsidRPr="00502608">
        <w:rPr>
          <w:rFonts w:ascii="Arial" w:hAnsi="Arial" w:cs="Arial"/>
        </w:rPr>
        <w:t>Ursprünglich wollte die OAK nur eine (sinnvolle) Regelung für die Gründung von AST erlassen. Doch nach ersten internen Beratungen hat man unter dem Deckmantel der „Gleichbehandlung“ die Vorschriften auch auf bestehende AST ausgeweitet. Eine differenzierte Betrachtung zwischen a) Institutionen, welche eine neue AST gründen wollen und b) bereits bestehenden AST wäre jedoch zweckmässiger gewesen (siehe auch unsere Stellungnahme vom 31.</w:t>
      </w:r>
      <w:r w:rsidR="00226185">
        <w:rPr>
          <w:rFonts w:ascii="Arial" w:hAnsi="Arial" w:cs="Arial"/>
        </w:rPr>
        <w:t xml:space="preserve">Oktober </w:t>
      </w:r>
      <w:r w:rsidRPr="00502608">
        <w:rPr>
          <w:rFonts w:ascii="Arial" w:hAnsi="Arial" w:cs="Arial"/>
        </w:rPr>
        <w:t>2015).</w:t>
      </w:r>
    </w:p>
    <w:p w14:paraId="433F0B16" w14:textId="77777777" w:rsidR="004801B1" w:rsidRPr="00502608" w:rsidRDefault="004801B1" w:rsidP="00E23675">
      <w:pPr>
        <w:numPr>
          <w:ilvl w:val="0"/>
          <w:numId w:val="1"/>
        </w:numPr>
        <w:spacing w:before="480"/>
        <w:ind w:left="357" w:hanging="357"/>
        <w:jc w:val="both"/>
        <w:rPr>
          <w:rFonts w:ascii="Arial" w:hAnsi="Arial" w:cs="Arial"/>
          <w:b/>
        </w:rPr>
      </w:pPr>
      <w:r w:rsidRPr="00502608">
        <w:rPr>
          <w:rFonts w:ascii="Arial" w:hAnsi="Arial" w:cs="Arial"/>
          <w:b/>
        </w:rPr>
        <w:t>Berücksichtigte und nicht berücksichtigte Hinweise aus den KGAST-Stellungnahmen</w:t>
      </w:r>
    </w:p>
    <w:p w14:paraId="6499298D" w14:textId="77777777" w:rsidR="004801B1" w:rsidRPr="00502608" w:rsidRDefault="004801B1" w:rsidP="004801B1">
      <w:pPr>
        <w:numPr>
          <w:ilvl w:val="1"/>
          <w:numId w:val="1"/>
        </w:numPr>
        <w:ind w:left="426" w:hanging="426"/>
        <w:jc w:val="both"/>
        <w:rPr>
          <w:rFonts w:ascii="Arial" w:hAnsi="Arial" w:cs="Arial"/>
          <w:b/>
        </w:rPr>
      </w:pPr>
      <w:r w:rsidRPr="00502608">
        <w:rPr>
          <w:rFonts w:ascii="Arial" w:hAnsi="Arial" w:cs="Arial"/>
          <w:b/>
        </w:rPr>
        <w:t>Berücksichtigte Hinweise</w:t>
      </w:r>
    </w:p>
    <w:p w14:paraId="62DBE8E7" w14:textId="3F6ABFF9" w:rsidR="004801B1" w:rsidRPr="00502608" w:rsidRDefault="004801B1" w:rsidP="004801B1">
      <w:pPr>
        <w:jc w:val="both"/>
        <w:rPr>
          <w:rFonts w:ascii="Arial" w:hAnsi="Arial" w:cs="Arial"/>
        </w:rPr>
      </w:pPr>
      <w:r w:rsidRPr="00502608">
        <w:rPr>
          <w:rFonts w:ascii="Arial" w:hAnsi="Arial" w:cs="Arial"/>
        </w:rPr>
        <w:t>Immerhin kann festgestellt werden, dass aufgrund der KGAST–Stellungnahme per 30. Oktober 2015 sowie einem Workshop Mitte Januar 2016</w:t>
      </w:r>
      <w:r w:rsidR="00C2645B">
        <w:rPr>
          <w:rFonts w:ascii="Arial" w:hAnsi="Arial" w:cs="Arial"/>
        </w:rPr>
        <w:t xml:space="preserve"> und nachfolgenden Gesprächen</w:t>
      </w:r>
      <w:r w:rsidRPr="00502608">
        <w:rPr>
          <w:rFonts w:ascii="Arial" w:hAnsi="Arial" w:cs="Arial"/>
        </w:rPr>
        <w:t xml:space="preserve"> die für die KGAST wichtigsten, nicht praktikablen Bestimmungen bereinigt werden konnten, namentlich:</w:t>
      </w:r>
    </w:p>
    <w:p w14:paraId="2982C83A" w14:textId="77777777" w:rsidR="004801B1" w:rsidRPr="00502608" w:rsidRDefault="004801B1" w:rsidP="004801B1">
      <w:pPr>
        <w:numPr>
          <w:ilvl w:val="0"/>
          <w:numId w:val="2"/>
        </w:numPr>
        <w:jc w:val="both"/>
        <w:rPr>
          <w:rFonts w:ascii="Arial" w:hAnsi="Arial" w:cs="Arial"/>
        </w:rPr>
      </w:pPr>
      <w:r w:rsidRPr="00502608">
        <w:rPr>
          <w:rFonts w:ascii="Arial" w:hAnsi="Arial" w:cs="Arial"/>
        </w:rPr>
        <w:t>keine funktionale Trennung zwischen Stiftungsrat und Geschäftsführung,</w:t>
      </w:r>
    </w:p>
    <w:p w14:paraId="1948188A" w14:textId="77777777" w:rsidR="004801B1" w:rsidRPr="00502608" w:rsidRDefault="004801B1" w:rsidP="004801B1">
      <w:pPr>
        <w:numPr>
          <w:ilvl w:val="0"/>
          <w:numId w:val="2"/>
        </w:numPr>
        <w:jc w:val="both"/>
        <w:rPr>
          <w:rFonts w:ascii="Arial" w:hAnsi="Arial" w:cs="Arial"/>
        </w:rPr>
      </w:pPr>
      <w:r w:rsidRPr="00502608">
        <w:rPr>
          <w:rFonts w:ascii="Arial" w:hAnsi="Arial" w:cs="Arial"/>
        </w:rPr>
        <w:t>praktikablere Vorschriften zu IT-Infrastruktur,</w:t>
      </w:r>
    </w:p>
    <w:p w14:paraId="7DE213D6" w14:textId="77777777" w:rsidR="004801B1" w:rsidRPr="00502608" w:rsidRDefault="004801B1" w:rsidP="004801B1">
      <w:pPr>
        <w:numPr>
          <w:ilvl w:val="0"/>
          <w:numId w:val="2"/>
        </w:numPr>
        <w:jc w:val="both"/>
        <w:rPr>
          <w:rFonts w:ascii="Arial" w:hAnsi="Arial" w:cs="Arial"/>
        </w:rPr>
      </w:pPr>
      <w:r w:rsidRPr="00502608">
        <w:rPr>
          <w:rFonts w:ascii="Arial" w:hAnsi="Arial" w:cs="Arial"/>
        </w:rPr>
        <w:t>weniger strikte Regelung zu Anforderungen an verantwortliche Personen,</w:t>
      </w:r>
    </w:p>
    <w:p w14:paraId="651FF14D" w14:textId="77777777" w:rsidR="004801B1" w:rsidRPr="00502608" w:rsidRDefault="004801B1" w:rsidP="004801B1">
      <w:pPr>
        <w:numPr>
          <w:ilvl w:val="0"/>
          <w:numId w:val="2"/>
        </w:numPr>
        <w:jc w:val="both"/>
        <w:rPr>
          <w:rFonts w:ascii="Arial" w:hAnsi="Arial" w:cs="Arial"/>
        </w:rPr>
      </w:pPr>
      <w:r w:rsidRPr="00502608">
        <w:rPr>
          <w:rFonts w:ascii="Arial" w:hAnsi="Arial" w:cs="Arial"/>
        </w:rPr>
        <w:t>keine Offenlegung von Interessenkonflikten gegenüber der Anlegerversammlung,</w:t>
      </w:r>
    </w:p>
    <w:p w14:paraId="1578FADB" w14:textId="5E11C086" w:rsidR="004801B1" w:rsidRPr="00270CB3" w:rsidRDefault="004801B1" w:rsidP="00270CB3">
      <w:pPr>
        <w:numPr>
          <w:ilvl w:val="0"/>
          <w:numId w:val="2"/>
        </w:numPr>
        <w:jc w:val="both"/>
        <w:rPr>
          <w:rFonts w:ascii="Arial" w:hAnsi="Arial" w:cs="Arial"/>
        </w:rPr>
      </w:pPr>
      <w:r w:rsidRPr="00270CB3">
        <w:rPr>
          <w:rFonts w:ascii="Arial" w:hAnsi="Arial" w:cs="Arial"/>
        </w:rPr>
        <w:t xml:space="preserve">längere Vertragsdauer </w:t>
      </w:r>
      <w:r w:rsidR="00270CB3" w:rsidRPr="00270CB3">
        <w:rPr>
          <w:rFonts w:ascii="Arial" w:hAnsi="Arial" w:cs="Arial"/>
        </w:rPr>
        <w:t xml:space="preserve">für </w:t>
      </w:r>
      <w:proofErr w:type="spellStart"/>
      <w:r w:rsidR="00270CB3" w:rsidRPr="00270CB3">
        <w:rPr>
          <w:rFonts w:ascii="Arial" w:hAnsi="Arial" w:cs="Arial"/>
        </w:rPr>
        <w:t>Vermögensverwaltungsverträge</w:t>
      </w:r>
      <w:proofErr w:type="spellEnd"/>
      <w:r w:rsidR="00270CB3" w:rsidRPr="00270CB3">
        <w:rPr>
          <w:rFonts w:ascii="Arial" w:hAnsi="Arial" w:cs="Arial"/>
        </w:rPr>
        <w:t xml:space="preserve"> </w:t>
      </w:r>
      <w:r w:rsidRPr="00270CB3">
        <w:rPr>
          <w:rFonts w:ascii="Arial" w:hAnsi="Arial" w:cs="Arial"/>
        </w:rPr>
        <w:t>möglich mit entsprechender Begründung</w:t>
      </w:r>
      <w:r w:rsidR="00270CB3" w:rsidRPr="00270CB3">
        <w:rPr>
          <w:rFonts w:ascii="Arial" w:hAnsi="Arial" w:cs="Arial"/>
        </w:rPr>
        <w:t xml:space="preserve"> (Ziff. 2.3 </w:t>
      </w:r>
      <w:proofErr w:type="spellStart"/>
      <w:r w:rsidR="00270CB3" w:rsidRPr="00270CB3">
        <w:rPr>
          <w:rFonts w:ascii="Arial" w:hAnsi="Arial" w:cs="Arial"/>
        </w:rPr>
        <w:t>i.V.m</w:t>
      </w:r>
      <w:proofErr w:type="spellEnd"/>
      <w:r w:rsidR="00270CB3" w:rsidRPr="00270CB3">
        <w:rPr>
          <w:rFonts w:ascii="Arial" w:hAnsi="Arial" w:cs="Arial"/>
        </w:rPr>
        <w:t>. 5.1)</w:t>
      </w:r>
      <w:r w:rsidRPr="00270CB3">
        <w:rPr>
          <w:rFonts w:ascii="Arial" w:hAnsi="Arial" w:cs="Arial"/>
        </w:rPr>
        <w:t>,</w:t>
      </w:r>
    </w:p>
    <w:p w14:paraId="5D3C5BE7" w14:textId="77777777" w:rsidR="004801B1" w:rsidRPr="00502608" w:rsidRDefault="004801B1" w:rsidP="004801B1">
      <w:pPr>
        <w:numPr>
          <w:ilvl w:val="0"/>
          <w:numId w:val="2"/>
        </w:numPr>
        <w:jc w:val="both"/>
        <w:rPr>
          <w:rFonts w:ascii="Arial" w:hAnsi="Arial" w:cs="Arial"/>
        </w:rPr>
      </w:pPr>
      <w:r w:rsidRPr="00502608">
        <w:rPr>
          <w:rFonts w:ascii="Arial" w:hAnsi="Arial" w:cs="Arial"/>
        </w:rPr>
        <w:t>weniger komplexe Meldungen bei Wechsel von verantwortlichen Personen,</w:t>
      </w:r>
    </w:p>
    <w:p w14:paraId="6F9E9D88" w14:textId="77777777" w:rsidR="004801B1" w:rsidRPr="00502608" w:rsidRDefault="004801B1" w:rsidP="004801B1">
      <w:pPr>
        <w:numPr>
          <w:ilvl w:val="0"/>
          <w:numId w:val="2"/>
        </w:numPr>
        <w:jc w:val="both"/>
        <w:rPr>
          <w:rFonts w:ascii="Arial" w:hAnsi="Arial" w:cs="Arial"/>
        </w:rPr>
      </w:pPr>
      <w:r w:rsidRPr="00502608">
        <w:rPr>
          <w:rFonts w:ascii="Arial" w:hAnsi="Arial" w:cs="Arial"/>
        </w:rPr>
        <w:t>vereinfachte (aber immer noch ungenügende) Definition von Interessenskonflikten.</w:t>
      </w:r>
    </w:p>
    <w:p w14:paraId="4B25541B" w14:textId="0632F2E2" w:rsidR="004801B1" w:rsidRPr="00502608" w:rsidRDefault="00C2645B" w:rsidP="004801B1">
      <w:pPr>
        <w:numPr>
          <w:ilvl w:val="1"/>
          <w:numId w:val="1"/>
        </w:numPr>
        <w:ind w:left="426" w:hanging="426"/>
        <w:jc w:val="both"/>
        <w:rPr>
          <w:rFonts w:ascii="Arial" w:hAnsi="Arial" w:cs="Arial"/>
          <w:b/>
        </w:rPr>
      </w:pPr>
      <w:r>
        <w:rPr>
          <w:rFonts w:ascii="Arial" w:hAnsi="Arial" w:cs="Arial"/>
          <w:b/>
        </w:rPr>
        <w:t>Nicht b</w:t>
      </w:r>
      <w:r w:rsidR="004801B1" w:rsidRPr="00502608">
        <w:rPr>
          <w:rFonts w:ascii="Arial" w:hAnsi="Arial" w:cs="Arial"/>
          <w:b/>
        </w:rPr>
        <w:t>erücksichtigte Hinweise</w:t>
      </w:r>
    </w:p>
    <w:p w14:paraId="72186AC5" w14:textId="2A2E6507" w:rsidR="004801B1" w:rsidRPr="00502608" w:rsidRDefault="004801B1" w:rsidP="004801B1">
      <w:pPr>
        <w:jc w:val="both"/>
        <w:rPr>
          <w:rFonts w:ascii="Arial" w:hAnsi="Arial" w:cs="Arial"/>
        </w:rPr>
      </w:pPr>
      <w:r w:rsidRPr="00502608">
        <w:rPr>
          <w:rFonts w:ascii="Arial" w:hAnsi="Arial" w:cs="Arial"/>
        </w:rPr>
        <w:t xml:space="preserve">Hingegen wurden verschiedene Punkte in der Weisung nicht berücksichtigt. So zum Beispiel die zu weit gehenden Anforderungen an ein Internes Kontrollsystem (IKS): Gemäss ASV hat der Stiftungsrat die Pflicht, für eine ausreichende Kontrolle (und Unabhängigkeit der Kontrollorgane) </w:t>
      </w:r>
      <w:r w:rsidR="00C2645B">
        <w:rPr>
          <w:rFonts w:ascii="Arial" w:hAnsi="Arial" w:cs="Arial"/>
        </w:rPr>
        <w:t xml:space="preserve">zu sorgen. </w:t>
      </w:r>
      <w:r w:rsidRPr="00502608">
        <w:rPr>
          <w:rFonts w:ascii="Arial" w:hAnsi="Arial" w:cs="Arial"/>
        </w:rPr>
        <w:t xml:space="preserve">Zudem hat er nach ASV Art. 6 Abs. 2 für eine angemessene Betriebsorganisation zu sorgen. Diese Bestimmungen genügen. Weiterehende Anforderungen </w:t>
      </w:r>
      <w:r w:rsidRPr="00502608">
        <w:rPr>
          <w:rFonts w:ascii="Arial" w:hAnsi="Arial" w:cs="Arial"/>
        </w:rPr>
        <w:lastRenderedPageBreak/>
        <w:t>hinsichtlich eines Internen Kontrollsystems</w:t>
      </w:r>
      <w:r w:rsidR="00C2645B">
        <w:rPr>
          <w:rFonts w:ascii="Arial" w:hAnsi="Arial" w:cs="Arial"/>
        </w:rPr>
        <w:t xml:space="preserve"> </w:t>
      </w:r>
      <w:r w:rsidRPr="00502608">
        <w:rPr>
          <w:rFonts w:ascii="Arial" w:hAnsi="Arial" w:cs="Arial"/>
        </w:rPr>
        <w:t>–</w:t>
      </w:r>
      <w:r w:rsidR="00C2645B">
        <w:rPr>
          <w:rFonts w:ascii="Arial" w:hAnsi="Arial" w:cs="Arial"/>
        </w:rPr>
        <w:t xml:space="preserve"> </w:t>
      </w:r>
      <w:r w:rsidRPr="00502608">
        <w:rPr>
          <w:rFonts w:ascii="Arial" w:hAnsi="Arial" w:cs="Arial"/>
        </w:rPr>
        <w:t>wie sie die Weisung vorsieht - haben keine rechtliche Grundlage.</w:t>
      </w:r>
      <w:r w:rsidRPr="00502608">
        <w:rPr>
          <w:rStyle w:val="Funotenzeichen"/>
          <w:rFonts w:ascii="Arial" w:hAnsi="Arial" w:cs="Arial"/>
        </w:rPr>
        <w:footnoteReference w:id="1"/>
      </w:r>
      <w:r w:rsidRPr="00502608">
        <w:rPr>
          <w:rFonts w:ascii="Arial" w:hAnsi="Arial" w:cs="Arial"/>
        </w:rPr>
        <w:t xml:space="preserve"> Gemäss BVV 2 und ASV muss die Revisionsstelle ein</w:t>
      </w:r>
      <w:r w:rsidR="00C2645B">
        <w:rPr>
          <w:rFonts w:ascii="Arial" w:hAnsi="Arial" w:cs="Arial"/>
        </w:rPr>
        <w:t xml:space="preserve"> </w:t>
      </w:r>
      <w:r w:rsidRPr="00502608">
        <w:rPr>
          <w:rFonts w:ascii="Arial" w:hAnsi="Arial" w:cs="Arial"/>
        </w:rPr>
        <w:t>Testat über die „interne Kontrolle“ und nicht über ein „Internes Kontrollsystem (IKS)“</w:t>
      </w:r>
      <w:r w:rsidR="00C2645B">
        <w:rPr>
          <w:rFonts w:ascii="Arial" w:hAnsi="Arial" w:cs="Arial"/>
        </w:rPr>
        <w:t xml:space="preserve"> </w:t>
      </w:r>
      <w:r w:rsidRPr="00502608">
        <w:rPr>
          <w:rFonts w:ascii="Arial" w:hAnsi="Arial" w:cs="Arial"/>
        </w:rPr>
        <w:t>abgeben.</w:t>
      </w:r>
      <w:r w:rsidRPr="00502608">
        <w:rPr>
          <w:rStyle w:val="Funotenzeichen"/>
          <w:rFonts w:ascii="Arial" w:hAnsi="Arial" w:cs="Arial"/>
        </w:rPr>
        <w:footnoteReference w:id="2"/>
      </w:r>
      <w:r w:rsidRPr="00502608">
        <w:rPr>
          <w:rFonts w:ascii="Arial" w:hAnsi="Arial" w:cs="Arial"/>
        </w:rPr>
        <w:t xml:space="preserve"> Falls eine Revisionsstelle den zu strengen Massstab gemäss Prüfungsstandard anlegen will, kann sich die betroffene AST beim Geschäftsführer der KGAST melden. Er wird (allenfalls zusammen mit </w:t>
      </w:r>
      <w:proofErr w:type="spellStart"/>
      <w:r w:rsidRPr="00502608">
        <w:rPr>
          <w:rFonts w:ascii="Arial" w:hAnsi="Arial" w:cs="Arial"/>
        </w:rPr>
        <w:t>Expertsuisse</w:t>
      </w:r>
      <w:proofErr w:type="spellEnd"/>
      <w:r w:rsidRPr="00502608">
        <w:rPr>
          <w:rFonts w:ascii="Arial" w:hAnsi="Arial" w:cs="Arial"/>
        </w:rPr>
        <w:t>) die Revisionsstelle entsprechend aufklären.</w:t>
      </w:r>
    </w:p>
    <w:p w14:paraId="2DC4F50A" w14:textId="76B49AA8" w:rsidR="004801B1" w:rsidRPr="00502608" w:rsidRDefault="004801B1" w:rsidP="004801B1">
      <w:pPr>
        <w:jc w:val="both"/>
        <w:rPr>
          <w:rFonts w:ascii="Arial" w:hAnsi="Arial" w:cs="Arial"/>
        </w:rPr>
      </w:pPr>
      <w:r w:rsidRPr="00502608">
        <w:rPr>
          <w:rFonts w:ascii="Arial" w:hAnsi="Arial" w:cs="Arial"/>
        </w:rPr>
        <w:t>Ebenfalls unschön (aber wie oben erwähnt immerhin besser als in der ersten Weisungsfassung) ist die Regelung betreffend Interessenskonflikte. Di</w:t>
      </w:r>
      <w:r w:rsidR="00C2645B">
        <w:rPr>
          <w:rFonts w:ascii="Arial" w:hAnsi="Arial" w:cs="Arial"/>
        </w:rPr>
        <w:t xml:space="preserve">e OAK will Interessenskonflikte </w:t>
      </w:r>
      <w:r w:rsidRPr="00502608">
        <w:rPr>
          <w:rFonts w:ascii="Arial" w:hAnsi="Arial" w:cs="Arial"/>
        </w:rPr>
        <w:t>BESEITIGEN. D</w:t>
      </w:r>
      <w:r w:rsidR="00C2645B">
        <w:rPr>
          <w:rFonts w:ascii="Arial" w:hAnsi="Arial" w:cs="Arial"/>
        </w:rPr>
        <w:t>ies</w:t>
      </w:r>
      <w:r w:rsidRPr="00502608">
        <w:rPr>
          <w:rFonts w:ascii="Arial" w:hAnsi="Arial" w:cs="Arial"/>
        </w:rPr>
        <w:t xml:space="preserve"> entspricht aber nicht </w:t>
      </w:r>
      <w:r w:rsidR="00C2645B">
        <w:rPr>
          <w:rFonts w:ascii="Arial" w:hAnsi="Arial" w:cs="Arial"/>
        </w:rPr>
        <w:t>dem</w:t>
      </w:r>
      <w:r w:rsidRPr="00502608">
        <w:rPr>
          <w:rFonts w:ascii="Arial" w:hAnsi="Arial" w:cs="Arial"/>
        </w:rPr>
        <w:t xml:space="preserve"> herkömmlichen Interessenskonflikt-Management und ist bei strikter, wortgetreuer A</w:t>
      </w:r>
      <w:r w:rsidR="00C2645B">
        <w:rPr>
          <w:rFonts w:ascii="Arial" w:hAnsi="Arial" w:cs="Arial"/>
        </w:rPr>
        <w:t>nwendung</w:t>
      </w:r>
      <w:r w:rsidRPr="00502608">
        <w:rPr>
          <w:rFonts w:ascii="Arial" w:hAnsi="Arial" w:cs="Arial"/>
        </w:rPr>
        <w:t xml:space="preserve"> so auch nicht umsetzbar. Denn Interessenskonflikte müssen 1. erkann</w:t>
      </w:r>
      <w:r w:rsidR="00C2645B">
        <w:rPr>
          <w:rFonts w:ascii="Arial" w:hAnsi="Arial" w:cs="Arial"/>
        </w:rPr>
        <w:t>t, 2. analysiert, 3. minimiert und nur wenn möglich beseitigt</w:t>
      </w:r>
      <w:r w:rsidRPr="00502608">
        <w:rPr>
          <w:rFonts w:ascii="Arial" w:hAnsi="Arial" w:cs="Arial"/>
        </w:rPr>
        <w:t xml:space="preserve"> werden. Wenn eine Beseitigung oder eine genügende Minimierung nicht möglich </w:t>
      </w:r>
      <w:r w:rsidR="00C2645B">
        <w:rPr>
          <w:rFonts w:ascii="Arial" w:hAnsi="Arial" w:cs="Arial"/>
        </w:rPr>
        <w:t>sind</w:t>
      </w:r>
      <w:r w:rsidRPr="00502608">
        <w:rPr>
          <w:rFonts w:ascii="Arial" w:hAnsi="Arial" w:cs="Arial"/>
        </w:rPr>
        <w:t>, dann sind Interessenskonflikte offen zu legen. Geschäftsabschl</w:t>
      </w:r>
      <w:r w:rsidR="003D060D">
        <w:rPr>
          <w:rFonts w:ascii="Arial" w:hAnsi="Arial" w:cs="Arial"/>
        </w:rPr>
        <w:t>ü</w:t>
      </w:r>
      <w:r w:rsidRPr="00502608">
        <w:rPr>
          <w:rFonts w:ascii="Arial" w:hAnsi="Arial" w:cs="Arial"/>
        </w:rPr>
        <w:t xml:space="preserve">sse sind jedoch immer möglich. Sie müssen allerdings at </w:t>
      </w:r>
      <w:proofErr w:type="spellStart"/>
      <w:r w:rsidRPr="00502608">
        <w:rPr>
          <w:rFonts w:ascii="Arial" w:hAnsi="Arial" w:cs="Arial"/>
        </w:rPr>
        <w:t>arm’s</w:t>
      </w:r>
      <w:proofErr w:type="spellEnd"/>
      <w:r w:rsidRPr="00502608">
        <w:rPr>
          <w:rFonts w:ascii="Arial" w:hAnsi="Arial" w:cs="Arial"/>
        </w:rPr>
        <w:t xml:space="preserve"> </w:t>
      </w:r>
      <w:proofErr w:type="spellStart"/>
      <w:r w:rsidRPr="00502608">
        <w:rPr>
          <w:rFonts w:ascii="Arial" w:hAnsi="Arial" w:cs="Arial"/>
        </w:rPr>
        <w:t>length</w:t>
      </w:r>
      <w:proofErr w:type="spellEnd"/>
      <w:r w:rsidRPr="00502608">
        <w:rPr>
          <w:rFonts w:ascii="Arial" w:hAnsi="Arial" w:cs="Arial"/>
        </w:rPr>
        <w:t xml:space="preserve"> sein </w:t>
      </w:r>
      <w:r w:rsidR="00C2645B">
        <w:rPr>
          <w:rFonts w:ascii="Arial" w:hAnsi="Arial" w:cs="Arial"/>
        </w:rPr>
        <w:t>mit</w:t>
      </w:r>
      <w:r w:rsidRPr="00502608">
        <w:rPr>
          <w:rFonts w:ascii="Arial" w:hAnsi="Arial" w:cs="Arial"/>
        </w:rPr>
        <w:t xml:space="preserve"> zusätzliche</w:t>
      </w:r>
      <w:r w:rsidR="00C2645B">
        <w:rPr>
          <w:rFonts w:ascii="Arial" w:hAnsi="Arial" w:cs="Arial"/>
        </w:rPr>
        <w:t>n</w:t>
      </w:r>
      <w:r w:rsidRPr="00502608">
        <w:rPr>
          <w:rFonts w:ascii="Arial" w:hAnsi="Arial" w:cs="Arial"/>
        </w:rPr>
        <w:t xml:space="preserve"> Auflagen. Darüber hinaus geht die Weisungsbestimmung hinsichtlich der Interessenskonflikte weiter als die Regelung bei BVV 2 Art. 48l, welche die Anlagestiftungen einzuhalten haben (danach müssen Interessens</w:t>
      </w:r>
      <w:r w:rsidRPr="00502608">
        <w:rPr>
          <w:rFonts w:ascii="Arial" w:hAnsi="Arial" w:cs="Arial"/>
          <w:b/>
        </w:rPr>
        <w:t>verbindungen</w:t>
      </w:r>
      <w:r w:rsidRPr="00502608">
        <w:rPr>
          <w:rFonts w:ascii="Arial" w:hAnsi="Arial" w:cs="Arial"/>
        </w:rPr>
        <w:t xml:space="preserve"> offengelegt werden, nicht Interessens</w:t>
      </w:r>
      <w:r w:rsidRPr="00502608">
        <w:rPr>
          <w:rFonts w:ascii="Arial" w:hAnsi="Arial" w:cs="Arial"/>
          <w:b/>
        </w:rPr>
        <w:t>konflikte)</w:t>
      </w:r>
      <w:r w:rsidRPr="00502608">
        <w:rPr>
          <w:rFonts w:ascii="Arial" w:hAnsi="Arial" w:cs="Arial"/>
        </w:rPr>
        <w:t xml:space="preserve">. </w:t>
      </w:r>
    </w:p>
    <w:p w14:paraId="77F942A4" w14:textId="77777777" w:rsidR="004801B1" w:rsidRPr="00502608" w:rsidRDefault="004801B1" w:rsidP="00E23675">
      <w:pPr>
        <w:numPr>
          <w:ilvl w:val="0"/>
          <w:numId w:val="1"/>
        </w:numPr>
        <w:spacing w:before="480"/>
        <w:ind w:left="357" w:hanging="357"/>
        <w:jc w:val="both"/>
        <w:rPr>
          <w:rFonts w:ascii="Arial" w:hAnsi="Arial" w:cs="Arial"/>
          <w:b/>
        </w:rPr>
      </w:pPr>
      <w:r w:rsidRPr="00502608">
        <w:rPr>
          <w:rFonts w:ascii="Arial" w:hAnsi="Arial" w:cs="Arial"/>
          <w:b/>
        </w:rPr>
        <w:t>Wichtigste Weisungsbestimmun</w:t>
      </w:r>
      <w:r>
        <w:rPr>
          <w:rFonts w:ascii="Arial" w:hAnsi="Arial" w:cs="Arial"/>
          <w:b/>
        </w:rPr>
        <w:t>g</w:t>
      </w:r>
      <w:r w:rsidRPr="00502608">
        <w:rPr>
          <w:rFonts w:ascii="Arial" w:hAnsi="Arial" w:cs="Arial"/>
          <w:b/>
        </w:rPr>
        <w:t xml:space="preserve">en </w:t>
      </w:r>
      <w:r>
        <w:rPr>
          <w:rFonts w:ascii="Arial" w:hAnsi="Arial" w:cs="Arial"/>
          <w:b/>
        </w:rPr>
        <w:t>für bestehende AST</w:t>
      </w:r>
    </w:p>
    <w:p w14:paraId="307E8EC1" w14:textId="0B981772" w:rsidR="004801B1" w:rsidRPr="00502608" w:rsidRDefault="004801B1" w:rsidP="004801B1">
      <w:pPr>
        <w:jc w:val="both"/>
        <w:rPr>
          <w:rFonts w:ascii="Arial" w:hAnsi="Arial" w:cs="Arial"/>
        </w:rPr>
      </w:pPr>
      <w:r w:rsidRPr="00502608">
        <w:rPr>
          <w:rFonts w:ascii="Arial" w:hAnsi="Arial" w:cs="Arial"/>
        </w:rPr>
        <w:t xml:space="preserve">Die Weisung enthält Vorgaben zur Erstellung eines </w:t>
      </w:r>
      <w:r w:rsidRPr="00A304D4">
        <w:rPr>
          <w:rFonts w:ascii="Arial" w:hAnsi="Arial" w:cs="Arial"/>
          <w:b/>
        </w:rPr>
        <w:t>Organigramms</w:t>
      </w:r>
      <w:r w:rsidRPr="00502608">
        <w:rPr>
          <w:rFonts w:ascii="Arial" w:hAnsi="Arial" w:cs="Arial"/>
        </w:rPr>
        <w:t xml:space="preserve"> und einer </w:t>
      </w:r>
      <w:r w:rsidRPr="00A304D4">
        <w:rPr>
          <w:rFonts w:ascii="Arial" w:hAnsi="Arial" w:cs="Arial"/>
          <w:b/>
        </w:rPr>
        <w:t>Kompetenzregelung</w:t>
      </w:r>
      <w:r w:rsidRPr="00502608">
        <w:rPr>
          <w:rFonts w:ascii="Arial" w:hAnsi="Arial" w:cs="Arial"/>
        </w:rPr>
        <w:t xml:space="preserve"> der für die Geschäftstätigkeit verantwortlichen Stellen sowie deren Stellvertretungen. Vermutungsweise bestehen</w:t>
      </w:r>
      <w:r w:rsidR="00C2645B">
        <w:rPr>
          <w:rFonts w:ascii="Arial" w:hAnsi="Arial" w:cs="Arial"/>
        </w:rPr>
        <w:t xml:space="preserve"> entsprechende Regelungen und </w:t>
      </w:r>
      <w:proofErr w:type="spellStart"/>
      <w:r w:rsidR="00C2645B">
        <w:rPr>
          <w:rFonts w:ascii="Arial" w:hAnsi="Arial" w:cs="Arial"/>
        </w:rPr>
        <w:t>Dokumete</w:t>
      </w:r>
      <w:proofErr w:type="spellEnd"/>
      <w:r w:rsidRPr="00502608">
        <w:rPr>
          <w:rFonts w:ascii="Arial" w:hAnsi="Arial" w:cs="Arial"/>
        </w:rPr>
        <w:t xml:space="preserve"> </w:t>
      </w:r>
      <w:r w:rsidR="00C2645B">
        <w:rPr>
          <w:rFonts w:ascii="Arial" w:hAnsi="Arial" w:cs="Arial"/>
        </w:rPr>
        <w:t>bereits bei den meisten</w:t>
      </w:r>
      <w:r w:rsidRPr="00502608">
        <w:rPr>
          <w:rFonts w:ascii="Arial" w:hAnsi="Arial" w:cs="Arial"/>
        </w:rPr>
        <w:t xml:space="preserve"> AST. Der Handlungsbedarf zu dieser Vorgabe erscheint gering.</w:t>
      </w:r>
    </w:p>
    <w:p w14:paraId="023761A7" w14:textId="2BAA2298" w:rsidR="004801B1" w:rsidRPr="00502608" w:rsidRDefault="004801B1" w:rsidP="004801B1">
      <w:pPr>
        <w:jc w:val="both"/>
        <w:rPr>
          <w:rFonts w:ascii="Arial" w:hAnsi="Arial" w:cs="Arial"/>
        </w:rPr>
      </w:pPr>
      <w:r w:rsidRPr="00502608">
        <w:rPr>
          <w:rFonts w:ascii="Arial" w:hAnsi="Arial" w:cs="Arial"/>
        </w:rPr>
        <w:t xml:space="preserve">Die </w:t>
      </w:r>
      <w:r w:rsidRPr="00A304D4">
        <w:rPr>
          <w:rFonts w:ascii="Arial" w:hAnsi="Arial" w:cs="Arial"/>
          <w:b/>
        </w:rPr>
        <w:t>IT-Infrastruktur</w:t>
      </w:r>
      <w:r w:rsidRPr="00502608">
        <w:rPr>
          <w:rFonts w:ascii="Arial" w:hAnsi="Arial" w:cs="Arial"/>
        </w:rPr>
        <w:t xml:space="preserve"> muss angemessen sein. Speziell bei dieser Regelung ist das „gesunde Augenmass“ der Revisionsstelle nötig. Für einfache Strukturen reicht oft auch nur eine einfache Infrastruktur ohne spezielle </w:t>
      </w:r>
      <w:r w:rsidR="00C2645B">
        <w:rPr>
          <w:rFonts w:ascii="Arial" w:hAnsi="Arial" w:cs="Arial"/>
        </w:rPr>
        <w:t>IT-</w:t>
      </w:r>
      <w:r w:rsidRPr="00502608">
        <w:rPr>
          <w:rFonts w:ascii="Arial" w:hAnsi="Arial" w:cs="Arial"/>
        </w:rPr>
        <w:t>Applikation</w:t>
      </w:r>
      <w:r w:rsidR="00C2645B">
        <w:rPr>
          <w:rFonts w:ascii="Arial" w:hAnsi="Arial" w:cs="Arial"/>
        </w:rPr>
        <w:t>en</w:t>
      </w:r>
      <w:r w:rsidRPr="00502608">
        <w:rPr>
          <w:rFonts w:ascii="Arial" w:hAnsi="Arial" w:cs="Arial"/>
        </w:rPr>
        <w:t xml:space="preserve">. </w:t>
      </w:r>
    </w:p>
    <w:p w14:paraId="21A9E77C" w14:textId="099E235C" w:rsidR="004801B1" w:rsidRPr="00502608" w:rsidRDefault="004801B1" w:rsidP="004801B1">
      <w:pPr>
        <w:jc w:val="both"/>
        <w:rPr>
          <w:rFonts w:ascii="Arial" w:hAnsi="Arial" w:cs="Arial"/>
        </w:rPr>
      </w:pPr>
      <w:r w:rsidRPr="00502608">
        <w:rPr>
          <w:rFonts w:ascii="Arial" w:hAnsi="Arial" w:cs="Arial"/>
        </w:rPr>
        <w:t xml:space="preserve">Die von der AST abgeschlossenen </w:t>
      </w:r>
      <w:r w:rsidRPr="00A304D4">
        <w:rPr>
          <w:rFonts w:ascii="Arial" w:hAnsi="Arial" w:cs="Arial"/>
          <w:b/>
        </w:rPr>
        <w:t>Vermögensverwaltungs- und Verwaltungsverträge</w:t>
      </w:r>
      <w:r w:rsidRPr="00502608">
        <w:rPr>
          <w:rFonts w:ascii="Arial" w:hAnsi="Arial" w:cs="Arial"/>
        </w:rPr>
        <w:t xml:space="preserve"> müssen spätestens nach fünf Jahren seit Abschluss ohne Nachteil für die Anlagestiftung aufgelöst werden können</w:t>
      </w:r>
      <w:r w:rsidR="00270CB3">
        <w:rPr>
          <w:rFonts w:ascii="Arial" w:hAnsi="Arial" w:cs="Arial"/>
        </w:rPr>
        <w:t xml:space="preserve"> (Ziff. 2.3)</w:t>
      </w:r>
      <w:r w:rsidRPr="00502608">
        <w:rPr>
          <w:rFonts w:ascii="Arial" w:hAnsi="Arial" w:cs="Arial"/>
        </w:rPr>
        <w:t xml:space="preserve">. U.E. fehlt für eine solche Einschränkung die rechtliche Grundlage. Immerhin können für Alternative Anlagen mit Zustimmung der OAK auch längerfristige Verträge vereinbart werden. </w:t>
      </w:r>
    </w:p>
    <w:p w14:paraId="0E225326" w14:textId="434D4524" w:rsidR="004801B1" w:rsidRPr="00502608" w:rsidRDefault="004801B1" w:rsidP="004801B1">
      <w:pPr>
        <w:jc w:val="both"/>
        <w:rPr>
          <w:rFonts w:ascii="Arial" w:hAnsi="Arial" w:cs="Arial"/>
        </w:rPr>
      </w:pPr>
      <w:r w:rsidRPr="00502608">
        <w:rPr>
          <w:rFonts w:ascii="Arial" w:hAnsi="Arial" w:cs="Arial"/>
        </w:rPr>
        <w:t xml:space="preserve">Gemäss ASV muss </w:t>
      </w:r>
      <w:r w:rsidR="00C2645B">
        <w:rPr>
          <w:rFonts w:ascii="Arial" w:hAnsi="Arial" w:cs="Arial"/>
        </w:rPr>
        <w:t xml:space="preserve">der </w:t>
      </w:r>
      <w:r w:rsidRPr="00502608">
        <w:rPr>
          <w:rFonts w:ascii="Arial" w:hAnsi="Arial" w:cs="Arial"/>
        </w:rPr>
        <w:t>Stiftungsrat für eine „</w:t>
      </w:r>
      <w:r w:rsidRPr="00A304D4">
        <w:rPr>
          <w:rFonts w:ascii="Arial" w:hAnsi="Arial" w:cs="Arial"/>
          <w:b/>
        </w:rPr>
        <w:t>ausreichende Kontrolle</w:t>
      </w:r>
      <w:r w:rsidRPr="00502608">
        <w:rPr>
          <w:rFonts w:ascii="Arial" w:hAnsi="Arial" w:cs="Arial"/>
        </w:rPr>
        <w:t xml:space="preserve"> der mit den Aufgaben betrauten Personen“ sorgen und auf die „Unabhängigkeit der Kontrollorgane“ achten. Zudem muss die Revisionsstelle bestätigen, dass „eine der Grösse und Komplexität angemessene interne Kontrolle“ existiert. In der Weisung wird dann aber von einem Internen Kontrollsystem </w:t>
      </w:r>
      <w:r w:rsidRPr="00502608">
        <w:rPr>
          <w:rFonts w:ascii="Arial" w:hAnsi="Arial" w:cs="Arial"/>
        </w:rPr>
        <w:lastRenderedPageBreak/>
        <w:t>(IKS) gesprochen. Hier bleibt zu hoffen, dass die Revision</w:t>
      </w:r>
      <w:r>
        <w:rPr>
          <w:rFonts w:ascii="Arial" w:hAnsi="Arial" w:cs="Arial"/>
        </w:rPr>
        <w:t>s</w:t>
      </w:r>
      <w:r w:rsidRPr="00502608">
        <w:rPr>
          <w:rFonts w:ascii="Arial" w:hAnsi="Arial" w:cs="Arial"/>
        </w:rPr>
        <w:t xml:space="preserve">stellen nicht den Prüfungsstandard 890 von </w:t>
      </w:r>
      <w:proofErr w:type="spellStart"/>
      <w:r w:rsidRPr="00502608">
        <w:rPr>
          <w:rFonts w:ascii="Arial" w:hAnsi="Arial" w:cs="Arial"/>
        </w:rPr>
        <w:t>Expertsuisse</w:t>
      </w:r>
      <w:proofErr w:type="spellEnd"/>
      <w:r w:rsidRPr="00502608">
        <w:rPr>
          <w:rFonts w:ascii="Arial" w:hAnsi="Arial" w:cs="Arial"/>
        </w:rPr>
        <w:t xml:space="preserve"> anwenden wollen (</w:t>
      </w:r>
      <w:r w:rsidR="00C2645B">
        <w:rPr>
          <w:rFonts w:ascii="Arial" w:hAnsi="Arial" w:cs="Arial"/>
        </w:rPr>
        <w:t xml:space="preserve">falls doch, </w:t>
      </w:r>
      <w:r w:rsidRPr="00502608">
        <w:rPr>
          <w:rFonts w:ascii="Arial" w:hAnsi="Arial" w:cs="Arial"/>
        </w:rPr>
        <w:t xml:space="preserve">siehe </w:t>
      </w:r>
      <w:r w:rsidR="00C2645B">
        <w:rPr>
          <w:rFonts w:ascii="Arial" w:hAnsi="Arial" w:cs="Arial"/>
        </w:rPr>
        <w:t>Punkt</w:t>
      </w:r>
      <w:r w:rsidRPr="00502608">
        <w:rPr>
          <w:rFonts w:ascii="Arial" w:hAnsi="Arial" w:cs="Arial"/>
        </w:rPr>
        <w:t xml:space="preserve"> 2.b oben). </w:t>
      </w:r>
    </w:p>
    <w:p w14:paraId="55DC8DC7" w14:textId="06624714" w:rsidR="004801B1" w:rsidRDefault="004801B1" w:rsidP="004801B1">
      <w:pPr>
        <w:jc w:val="both"/>
        <w:rPr>
          <w:rFonts w:ascii="Arial" w:hAnsi="Arial" w:cs="Arial"/>
        </w:rPr>
      </w:pPr>
      <w:r>
        <w:rPr>
          <w:rFonts w:ascii="Arial" w:hAnsi="Arial" w:cs="Arial"/>
        </w:rPr>
        <w:t>Auch für</w:t>
      </w:r>
      <w:r w:rsidRPr="00502608">
        <w:rPr>
          <w:rFonts w:ascii="Arial" w:hAnsi="Arial" w:cs="Arial"/>
        </w:rPr>
        <w:t xml:space="preserve"> Anlagestiftungen gelten </w:t>
      </w:r>
      <w:r>
        <w:rPr>
          <w:rFonts w:ascii="Arial" w:hAnsi="Arial" w:cs="Arial"/>
        </w:rPr>
        <w:t xml:space="preserve">die Regelungen zu </w:t>
      </w:r>
      <w:r w:rsidRPr="00A304D4">
        <w:rPr>
          <w:rFonts w:ascii="Arial" w:hAnsi="Arial" w:cs="Arial"/>
          <w:b/>
        </w:rPr>
        <w:t>Integrität und Loyalität</w:t>
      </w:r>
      <w:r w:rsidRPr="00502608">
        <w:rPr>
          <w:rFonts w:ascii="Arial" w:hAnsi="Arial" w:cs="Arial"/>
        </w:rPr>
        <w:t xml:space="preserve"> der Verantwortlichen (Art. 7 Abs. 1 ASV </w:t>
      </w:r>
      <w:proofErr w:type="spellStart"/>
      <w:r w:rsidRPr="00502608">
        <w:rPr>
          <w:rFonts w:ascii="Arial" w:hAnsi="Arial" w:cs="Arial"/>
        </w:rPr>
        <w:t>i.V.m</w:t>
      </w:r>
      <w:proofErr w:type="spellEnd"/>
      <w:r w:rsidRPr="00502608">
        <w:rPr>
          <w:rFonts w:ascii="Arial" w:hAnsi="Arial" w:cs="Arial"/>
        </w:rPr>
        <w:t xml:space="preserve">. Art. 48f </w:t>
      </w:r>
      <w:r>
        <w:rPr>
          <w:rFonts w:ascii="Arial" w:hAnsi="Arial" w:cs="Arial"/>
        </w:rPr>
        <w:t xml:space="preserve">ff. </w:t>
      </w:r>
      <w:r w:rsidRPr="00502608">
        <w:rPr>
          <w:rFonts w:ascii="Arial" w:hAnsi="Arial" w:cs="Arial"/>
        </w:rPr>
        <w:t>BVV</w:t>
      </w:r>
      <w:r>
        <w:rPr>
          <w:rFonts w:ascii="Arial" w:hAnsi="Arial" w:cs="Arial"/>
        </w:rPr>
        <w:t xml:space="preserve"> </w:t>
      </w:r>
      <w:r w:rsidRPr="00502608">
        <w:rPr>
          <w:rFonts w:ascii="Arial" w:hAnsi="Arial" w:cs="Arial"/>
        </w:rPr>
        <w:t xml:space="preserve">2). </w:t>
      </w:r>
      <w:r>
        <w:rPr>
          <w:rFonts w:ascii="Arial" w:hAnsi="Arial" w:cs="Arial"/>
        </w:rPr>
        <w:t xml:space="preserve">Der Kreis der Verantwortlichen wird in der Weisung </w:t>
      </w:r>
      <w:r w:rsidRPr="00502608">
        <w:rPr>
          <w:rFonts w:ascii="Arial" w:hAnsi="Arial" w:cs="Arial"/>
        </w:rPr>
        <w:t xml:space="preserve">konkretisiert und umfasst neben den Mitgliedern des Stiftungsrats und der Geschäftsführung auch die Mitglieder </w:t>
      </w:r>
      <w:r>
        <w:rPr>
          <w:rFonts w:ascii="Arial" w:hAnsi="Arial" w:cs="Arial"/>
        </w:rPr>
        <w:t>von A</w:t>
      </w:r>
      <w:r w:rsidRPr="00502608">
        <w:rPr>
          <w:rFonts w:ascii="Arial" w:hAnsi="Arial" w:cs="Arial"/>
        </w:rPr>
        <w:t>nlagekom</w:t>
      </w:r>
      <w:r>
        <w:rPr>
          <w:rFonts w:ascii="Arial" w:hAnsi="Arial" w:cs="Arial"/>
        </w:rPr>
        <w:t>itees</w:t>
      </w:r>
      <w:r w:rsidRPr="00502608">
        <w:rPr>
          <w:rFonts w:ascii="Arial" w:hAnsi="Arial" w:cs="Arial"/>
        </w:rPr>
        <w:t>, in der Vermögensverwaltung tätige Personen mit Entscheidungsbefugnissen</w:t>
      </w:r>
      <w:r>
        <w:rPr>
          <w:rFonts w:ascii="Arial" w:hAnsi="Arial" w:cs="Arial"/>
        </w:rPr>
        <w:t xml:space="preserve"> und</w:t>
      </w:r>
      <w:r w:rsidRPr="00502608">
        <w:rPr>
          <w:rFonts w:ascii="Arial" w:hAnsi="Arial" w:cs="Arial"/>
        </w:rPr>
        <w:t xml:space="preserve"> verantwortliche natürliche Personen einer juristischen Person oder Personengesellschaft.</w:t>
      </w:r>
    </w:p>
    <w:p w14:paraId="0937F53F" w14:textId="77777777" w:rsidR="004801B1" w:rsidRPr="00A304D4" w:rsidRDefault="004801B1" w:rsidP="004801B1">
      <w:pPr>
        <w:jc w:val="both"/>
        <w:rPr>
          <w:rFonts w:ascii="Arial" w:hAnsi="Arial" w:cs="Arial"/>
        </w:rPr>
      </w:pPr>
      <w:r w:rsidRPr="00502608">
        <w:rPr>
          <w:rFonts w:ascii="Arial" w:hAnsi="Arial" w:cs="Arial"/>
        </w:rPr>
        <w:t xml:space="preserve">Die </w:t>
      </w:r>
      <w:r w:rsidRPr="00A304D4">
        <w:rPr>
          <w:rFonts w:ascii="Arial" w:hAnsi="Arial" w:cs="Arial"/>
          <w:b/>
        </w:rPr>
        <w:t>verantwortlichen Personen</w:t>
      </w:r>
      <w:r>
        <w:rPr>
          <w:rFonts w:ascii="Arial" w:hAnsi="Arial" w:cs="Arial"/>
        </w:rPr>
        <w:t xml:space="preserve"> </w:t>
      </w:r>
      <w:r w:rsidRPr="00502608">
        <w:rPr>
          <w:rFonts w:ascii="Arial" w:hAnsi="Arial" w:cs="Arial"/>
        </w:rPr>
        <w:t xml:space="preserve">müssen </w:t>
      </w:r>
      <w:r>
        <w:rPr>
          <w:rFonts w:ascii="Arial" w:hAnsi="Arial" w:cs="Arial"/>
        </w:rPr>
        <w:t xml:space="preserve">über </w:t>
      </w:r>
      <w:r w:rsidRPr="00502608">
        <w:rPr>
          <w:rFonts w:ascii="Arial" w:hAnsi="Arial" w:cs="Arial"/>
        </w:rPr>
        <w:t xml:space="preserve">für die Ausübung ihrer Tätigkeit erforderlichen fachlichen Qualifikationen verfügen, die sie für die Erfüllung ihrer Aufgaben benötigen. Die für die Vermögensverwaltung </w:t>
      </w:r>
      <w:r>
        <w:rPr>
          <w:rFonts w:ascii="Arial" w:hAnsi="Arial" w:cs="Arial"/>
        </w:rPr>
        <w:t>V</w:t>
      </w:r>
      <w:r w:rsidRPr="00502608">
        <w:rPr>
          <w:rFonts w:ascii="Arial" w:hAnsi="Arial" w:cs="Arial"/>
        </w:rPr>
        <w:t xml:space="preserve">erantwortlichen </w:t>
      </w:r>
      <w:r>
        <w:rPr>
          <w:rFonts w:ascii="Arial" w:hAnsi="Arial" w:cs="Arial"/>
        </w:rPr>
        <w:t xml:space="preserve">mit Entscheidungsbefugnissen </w:t>
      </w:r>
      <w:r w:rsidRPr="00502608">
        <w:rPr>
          <w:rFonts w:ascii="Arial" w:hAnsi="Arial" w:cs="Arial"/>
        </w:rPr>
        <w:t xml:space="preserve">müssen </w:t>
      </w:r>
      <w:r>
        <w:rPr>
          <w:rFonts w:ascii="Arial" w:hAnsi="Arial" w:cs="Arial"/>
        </w:rPr>
        <w:t>zudem</w:t>
      </w:r>
      <w:r w:rsidRPr="00502608">
        <w:rPr>
          <w:rFonts w:ascii="Arial" w:hAnsi="Arial" w:cs="Arial"/>
        </w:rPr>
        <w:t xml:space="preserve"> praktische Erfahrung</w:t>
      </w:r>
      <w:r>
        <w:rPr>
          <w:rFonts w:ascii="Arial" w:hAnsi="Arial" w:cs="Arial"/>
        </w:rPr>
        <w:t>en</w:t>
      </w:r>
      <w:r w:rsidRPr="00502608">
        <w:rPr>
          <w:rFonts w:ascii="Arial" w:hAnsi="Arial" w:cs="Arial"/>
        </w:rPr>
        <w:t xml:space="preserve"> von mindestens fünf Jahren in der Vermögensverwaltung für Dritte </w:t>
      </w:r>
      <w:r>
        <w:rPr>
          <w:rFonts w:ascii="Arial" w:hAnsi="Arial" w:cs="Arial"/>
        </w:rPr>
        <w:t xml:space="preserve">mitbringen. Immerhin gilt für </w:t>
      </w:r>
      <w:r w:rsidRPr="00A304D4">
        <w:rPr>
          <w:rFonts w:ascii="Arial" w:hAnsi="Arial" w:cs="Arial"/>
        </w:rPr>
        <w:t>Mitglieder von Anlagegremien mit Entscheid</w:t>
      </w:r>
      <w:r>
        <w:rPr>
          <w:rFonts w:ascii="Arial" w:hAnsi="Arial" w:cs="Arial"/>
        </w:rPr>
        <w:t>ungs</w:t>
      </w:r>
      <w:r w:rsidRPr="00A304D4">
        <w:rPr>
          <w:rFonts w:ascii="Arial" w:hAnsi="Arial" w:cs="Arial"/>
        </w:rPr>
        <w:t xml:space="preserve">befugnissen, dass nur die Mehrheit der Mitglieder die fachlichen Voraussetzungen nach Ziff. 2.7.2.d erfüllen muss. </w:t>
      </w:r>
    </w:p>
    <w:p w14:paraId="42C81F38" w14:textId="20F86526" w:rsidR="004801B1" w:rsidRPr="00502608" w:rsidRDefault="004801B1" w:rsidP="004801B1">
      <w:pPr>
        <w:jc w:val="both"/>
        <w:rPr>
          <w:rFonts w:ascii="Arial" w:hAnsi="Arial" w:cs="Arial"/>
        </w:rPr>
      </w:pPr>
      <w:r>
        <w:rPr>
          <w:rFonts w:ascii="Arial" w:hAnsi="Arial" w:cs="Arial"/>
        </w:rPr>
        <w:t xml:space="preserve">Bezüglich </w:t>
      </w:r>
      <w:r w:rsidRPr="00502608">
        <w:rPr>
          <w:rFonts w:ascii="Arial" w:hAnsi="Arial" w:cs="Arial"/>
        </w:rPr>
        <w:t>Vermeid</w:t>
      </w:r>
      <w:r w:rsidR="00C2645B">
        <w:rPr>
          <w:rFonts w:ascii="Arial" w:hAnsi="Arial" w:cs="Arial"/>
        </w:rPr>
        <w:t>ung</w:t>
      </w:r>
      <w:r w:rsidRPr="00502608">
        <w:rPr>
          <w:rFonts w:ascii="Arial" w:hAnsi="Arial" w:cs="Arial"/>
        </w:rPr>
        <w:t xml:space="preserve"> von </w:t>
      </w:r>
      <w:r w:rsidRPr="00A304D4">
        <w:rPr>
          <w:rFonts w:ascii="Arial" w:hAnsi="Arial" w:cs="Arial"/>
          <w:b/>
        </w:rPr>
        <w:t>Interessenkonflikten</w:t>
      </w:r>
      <w:r w:rsidRPr="00502608">
        <w:rPr>
          <w:rFonts w:ascii="Arial" w:hAnsi="Arial" w:cs="Arial"/>
        </w:rPr>
        <w:t xml:space="preserve"> schreib</w:t>
      </w:r>
      <w:r w:rsidR="00C2645B">
        <w:rPr>
          <w:rFonts w:ascii="Arial" w:hAnsi="Arial" w:cs="Arial"/>
        </w:rPr>
        <w:t xml:space="preserve">t </w:t>
      </w:r>
      <w:r w:rsidRPr="00502608">
        <w:rPr>
          <w:rFonts w:ascii="Arial" w:hAnsi="Arial" w:cs="Arial"/>
        </w:rPr>
        <w:t xml:space="preserve">die Weisung vor, dass eine interne </w:t>
      </w:r>
      <w:r>
        <w:rPr>
          <w:rFonts w:ascii="Arial" w:hAnsi="Arial" w:cs="Arial"/>
        </w:rPr>
        <w:t>AST-</w:t>
      </w:r>
      <w:r w:rsidRPr="00502608">
        <w:rPr>
          <w:rFonts w:ascii="Arial" w:hAnsi="Arial" w:cs="Arial"/>
        </w:rPr>
        <w:t>Weisung zu erlassen ist</w:t>
      </w:r>
      <w:r>
        <w:rPr>
          <w:rFonts w:ascii="Arial" w:hAnsi="Arial" w:cs="Arial"/>
        </w:rPr>
        <w:t>. U. E. ist eine explizite Regelung der Interessenskonflikte im OGR der AST jedoch auch möglich. Wichtig erscheint uns, dass</w:t>
      </w:r>
      <w:r w:rsidR="00C7303B">
        <w:rPr>
          <w:rFonts w:ascii="Arial" w:hAnsi="Arial" w:cs="Arial"/>
        </w:rPr>
        <w:t xml:space="preserve"> überhaupt</w:t>
      </w:r>
      <w:r>
        <w:rPr>
          <w:rFonts w:ascii="Arial" w:hAnsi="Arial" w:cs="Arial"/>
        </w:rPr>
        <w:t xml:space="preserve"> eine</w:t>
      </w:r>
      <w:r w:rsidR="00C7303B">
        <w:rPr>
          <w:rFonts w:ascii="Arial" w:hAnsi="Arial" w:cs="Arial"/>
        </w:rPr>
        <w:t xml:space="preserve"> entsprechende</w:t>
      </w:r>
      <w:r>
        <w:rPr>
          <w:rFonts w:ascii="Arial" w:hAnsi="Arial" w:cs="Arial"/>
        </w:rPr>
        <w:t xml:space="preserve"> Regelung besteht und nicht in welchem Dokument </w:t>
      </w:r>
      <w:r w:rsidR="00C7303B">
        <w:rPr>
          <w:rFonts w:ascii="Arial" w:hAnsi="Arial" w:cs="Arial"/>
        </w:rPr>
        <w:t>sie</w:t>
      </w:r>
      <w:r>
        <w:rPr>
          <w:rFonts w:ascii="Arial" w:hAnsi="Arial" w:cs="Arial"/>
        </w:rPr>
        <w:t xml:space="preserve"> geregelt w</w:t>
      </w:r>
      <w:r w:rsidR="00C7303B">
        <w:rPr>
          <w:rFonts w:ascii="Arial" w:hAnsi="Arial" w:cs="Arial"/>
        </w:rPr>
        <w:t>ird</w:t>
      </w:r>
      <w:r w:rsidRPr="00502608">
        <w:rPr>
          <w:rFonts w:ascii="Arial" w:hAnsi="Arial" w:cs="Arial"/>
        </w:rPr>
        <w:t>.</w:t>
      </w:r>
    </w:p>
    <w:p w14:paraId="12627D11" w14:textId="77777777" w:rsidR="004801B1" w:rsidRPr="00A304D4" w:rsidRDefault="004801B1" w:rsidP="00E23675">
      <w:pPr>
        <w:numPr>
          <w:ilvl w:val="0"/>
          <w:numId w:val="1"/>
        </w:numPr>
        <w:spacing w:before="480"/>
        <w:ind w:left="357" w:hanging="357"/>
        <w:jc w:val="both"/>
        <w:rPr>
          <w:rFonts w:ascii="Arial" w:hAnsi="Arial" w:cs="Arial"/>
          <w:b/>
        </w:rPr>
      </w:pPr>
      <w:r w:rsidRPr="00A304D4">
        <w:rPr>
          <w:rFonts w:ascii="Arial" w:hAnsi="Arial" w:cs="Arial"/>
          <w:b/>
        </w:rPr>
        <w:t>Verfahren zur Gründung von A</w:t>
      </w:r>
      <w:r>
        <w:rPr>
          <w:rFonts w:ascii="Arial" w:hAnsi="Arial" w:cs="Arial"/>
          <w:b/>
        </w:rPr>
        <w:t>ST</w:t>
      </w:r>
      <w:r w:rsidRPr="00A304D4">
        <w:rPr>
          <w:rFonts w:ascii="Arial" w:hAnsi="Arial" w:cs="Arial"/>
          <w:b/>
        </w:rPr>
        <w:t xml:space="preserve"> </w:t>
      </w:r>
    </w:p>
    <w:p w14:paraId="6764A0DB" w14:textId="77777777" w:rsidR="004801B1" w:rsidRDefault="004801B1" w:rsidP="004801B1">
      <w:pPr>
        <w:jc w:val="both"/>
        <w:rPr>
          <w:rFonts w:ascii="Arial" w:hAnsi="Arial" w:cs="Arial"/>
        </w:rPr>
      </w:pPr>
      <w:r>
        <w:rPr>
          <w:rFonts w:ascii="Arial" w:hAnsi="Arial" w:cs="Arial"/>
        </w:rPr>
        <w:t xml:space="preserve">Das Verfahren zur Gründung von neuen AST betrifft die bestehenden AST nicht. Es wird deshalb auf eine Kommentierung verzichtet. </w:t>
      </w:r>
    </w:p>
    <w:p w14:paraId="1A7BEDCB" w14:textId="77777777" w:rsidR="004801B1" w:rsidRPr="00502608" w:rsidRDefault="004801B1" w:rsidP="00E23675">
      <w:pPr>
        <w:numPr>
          <w:ilvl w:val="0"/>
          <w:numId w:val="1"/>
        </w:numPr>
        <w:spacing w:before="480"/>
        <w:ind w:left="357" w:hanging="357"/>
        <w:jc w:val="both"/>
        <w:rPr>
          <w:rFonts w:ascii="Arial" w:hAnsi="Arial" w:cs="Arial"/>
          <w:b/>
        </w:rPr>
      </w:pPr>
      <w:r w:rsidRPr="00502608">
        <w:rPr>
          <w:rFonts w:ascii="Arial" w:hAnsi="Arial" w:cs="Arial"/>
          <w:b/>
        </w:rPr>
        <w:t>Fazit</w:t>
      </w:r>
    </w:p>
    <w:p w14:paraId="1F5E3E5E" w14:textId="2CB03A53" w:rsidR="004801B1" w:rsidRDefault="004801B1" w:rsidP="004801B1">
      <w:pPr>
        <w:jc w:val="both"/>
        <w:rPr>
          <w:rFonts w:ascii="Arial" w:hAnsi="Arial" w:cs="Arial"/>
        </w:rPr>
      </w:pPr>
      <w:r w:rsidRPr="00502608">
        <w:rPr>
          <w:rFonts w:ascii="Arial" w:hAnsi="Arial" w:cs="Arial"/>
        </w:rPr>
        <w:t xml:space="preserve">Die </w:t>
      </w:r>
      <w:r>
        <w:rPr>
          <w:rFonts w:ascii="Arial" w:hAnsi="Arial" w:cs="Arial"/>
        </w:rPr>
        <w:t xml:space="preserve">neue </w:t>
      </w:r>
      <w:r w:rsidRPr="00502608">
        <w:rPr>
          <w:rFonts w:ascii="Arial" w:hAnsi="Arial" w:cs="Arial"/>
        </w:rPr>
        <w:t>Weisung enth</w:t>
      </w:r>
      <w:r>
        <w:rPr>
          <w:rFonts w:ascii="Arial" w:hAnsi="Arial" w:cs="Arial"/>
        </w:rPr>
        <w:t>ält K</w:t>
      </w:r>
      <w:r w:rsidRPr="00502608">
        <w:rPr>
          <w:rFonts w:ascii="Arial" w:hAnsi="Arial" w:cs="Arial"/>
        </w:rPr>
        <w:t>onkretisierung</w:t>
      </w:r>
      <w:r>
        <w:rPr>
          <w:rFonts w:ascii="Arial" w:hAnsi="Arial" w:cs="Arial"/>
        </w:rPr>
        <w:t>en zu den bereits einzuhaltenden</w:t>
      </w:r>
      <w:r w:rsidRPr="00502608">
        <w:rPr>
          <w:rFonts w:ascii="Arial" w:hAnsi="Arial" w:cs="Arial"/>
        </w:rPr>
        <w:t xml:space="preserve"> </w:t>
      </w:r>
      <w:proofErr w:type="spellStart"/>
      <w:r>
        <w:rPr>
          <w:rFonts w:ascii="Arial" w:hAnsi="Arial" w:cs="Arial"/>
        </w:rPr>
        <w:t>Governancevorschriften</w:t>
      </w:r>
      <w:proofErr w:type="spellEnd"/>
      <w:r>
        <w:rPr>
          <w:rFonts w:ascii="Arial" w:hAnsi="Arial" w:cs="Arial"/>
        </w:rPr>
        <w:t xml:space="preserve"> aus BVV 2 und ASV. </w:t>
      </w:r>
      <w:r w:rsidRPr="00502608">
        <w:rPr>
          <w:rFonts w:ascii="Arial" w:hAnsi="Arial" w:cs="Arial"/>
        </w:rPr>
        <w:t>Insbesondere verlang</w:t>
      </w:r>
      <w:r>
        <w:rPr>
          <w:rFonts w:ascii="Arial" w:hAnsi="Arial" w:cs="Arial"/>
        </w:rPr>
        <w:t>t</w:t>
      </w:r>
      <w:r w:rsidRPr="00502608">
        <w:rPr>
          <w:rFonts w:ascii="Arial" w:hAnsi="Arial" w:cs="Arial"/>
        </w:rPr>
        <w:t xml:space="preserve"> die Weisung den Erlass von internen Vorschriften</w:t>
      </w:r>
      <w:r>
        <w:rPr>
          <w:rFonts w:ascii="Arial" w:hAnsi="Arial" w:cs="Arial"/>
        </w:rPr>
        <w:t xml:space="preserve">, AST-Weisungen oder anderen, </w:t>
      </w:r>
      <w:r w:rsidRPr="00502608">
        <w:rPr>
          <w:rFonts w:ascii="Arial" w:hAnsi="Arial" w:cs="Arial"/>
        </w:rPr>
        <w:t>schriftliche</w:t>
      </w:r>
      <w:r>
        <w:rPr>
          <w:rFonts w:ascii="Arial" w:hAnsi="Arial" w:cs="Arial"/>
        </w:rPr>
        <w:t>n</w:t>
      </w:r>
      <w:r w:rsidRPr="00502608">
        <w:rPr>
          <w:rFonts w:ascii="Arial" w:hAnsi="Arial" w:cs="Arial"/>
        </w:rPr>
        <w:t xml:space="preserve"> Dokument</w:t>
      </w:r>
      <w:r>
        <w:rPr>
          <w:rFonts w:ascii="Arial" w:hAnsi="Arial" w:cs="Arial"/>
        </w:rPr>
        <w:t>e</w:t>
      </w:r>
      <w:r w:rsidR="00C7303B">
        <w:rPr>
          <w:rFonts w:ascii="Arial" w:hAnsi="Arial" w:cs="Arial"/>
        </w:rPr>
        <w:t>n</w:t>
      </w:r>
      <w:r>
        <w:rPr>
          <w:rFonts w:ascii="Arial" w:hAnsi="Arial" w:cs="Arial"/>
        </w:rPr>
        <w:t xml:space="preserve">. Dabei lässt sie den AST meist </w:t>
      </w:r>
      <w:r w:rsidRPr="00502608">
        <w:rPr>
          <w:rFonts w:ascii="Arial" w:hAnsi="Arial" w:cs="Arial"/>
        </w:rPr>
        <w:t xml:space="preserve">genügend </w:t>
      </w:r>
      <w:r>
        <w:rPr>
          <w:rFonts w:ascii="Arial" w:hAnsi="Arial" w:cs="Arial"/>
        </w:rPr>
        <w:t xml:space="preserve">Handlungsfreiheit </w:t>
      </w:r>
      <w:r w:rsidRPr="00502608">
        <w:rPr>
          <w:rFonts w:ascii="Arial" w:hAnsi="Arial" w:cs="Arial"/>
        </w:rPr>
        <w:t xml:space="preserve">für individuelle, </w:t>
      </w:r>
      <w:r>
        <w:rPr>
          <w:rFonts w:ascii="Arial" w:hAnsi="Arial" w:cs="Arial"/>
        </w:rPr>
        <w:t xml:space="preserve">organisatorische </w:t>
      </w:r>
      <w:r w:rsidRPr="00502608">
        <w:rPr>
          <w:rFonts w:ascii="Arial" w:hAnsi="Arial" w:cs="Arial"/>
        </w:rPr>
        <w:t>Lösungen</w:t>
      </w:r>
      <w:r>
        <w:rPr>
          <w:rFonts w:ascii="Arial" w:hAnsi="Arial" w:cs="Arial"/>
        </w:rPr>
        <w:t xml:space="preserve">. </w:t>
      </w:r>
    </w:p>
    <w:p w14:paraId="7D8B69C5" w14:textId="78DB80A4" w:rsidR="004801B1" w:rsidRDefault="004801B1" w:rsidP="004801B1">
      <w:pPr>
        <w:jc w:val="both"/>
        <w:rPr>
          <w:rFonts w:ascii="Arial" w:hAnsi="Arial" w:cs="Arial"/>
        </w:rPr>
      </w:pPr>
      <w:r>
        <w:rPr>
          <w:rFonts w:ascii="Arial" w:hAnsi="Arial" w:cs="Arial"/>
        </w:rPr>
        <w:t>Für die meisten der beste</w:t>
      </w:r>
      <w:bookmarkStart w:id="0" w:name="_GoBack"/>
      <w:bookmarkEnd w:id="0"/>
      <w:r>
        <w:rPr>
          <w:rFonts w:ascii="Arial" w:hAnsi="Arial" w:cs="Arial"/>
        </w:rPr>
        <w:t xml:space="preserve">henden AST führt </w:t>
      </w:r>
      <w:r w:rsidR="00C7303B">
        <w:rPr>
          <w:rFonts w:ascii="Arial" w:hAnsi="Arial" w:cs="Arial"/>
        </w:rPr>
        <w:t xml:space="preserve">der Erlass der Weisung </w:t>
      </w:r>
      <w:r>
        <w:rPr>
          <w:rFonts w:ascii="Arial" w:hAnsi="Arial" w:cs="Arial"/>
        </w:rPr>
        <w:t>nicht zu einem umfangreichen</w:t>
      </w:r>
      <w:r w:rsidR="00C7303B">
        <w:rPr>
          <w:rFonts w:ascii="Arial" w:hAnsi="Arial" w:cs="Arial"/>
        </w:rPr>
        <w:t xml:space="preserve"> und unmittelbaren </w:t>
      </w:r>
      <w:r>
        <w:rPr>
          <w:rFonts w:ascii="Arial" w:hAnsi="Arial" w:cs="Arial"/>
        </w:rPr>
        <w:t xml:space="preserve">Anpassungsbedarf. </w:t>
      </w:r>
      <w:r w:rsidR="00C7303B">
        <w:rPr>
          <w:rFonts w:ascii="Arial" w:hAnsi="Arial" w:cs="Arial"/>
        </w:rPr>
        <w:t xml:space="preserve">Einzelne </w:t>
      </w:r>
      <w:r>
        <w:rPr>
          <w:rFonts w:ascii="Arial" w:hAnsi="Arial" w:cs="Arial"/>
        </w:rPr>
        <w:t xml:space="preserve">AST </w:t>
      </w:r>
      <w:r w:rsidR="00C7303B">
        <w:rPr>
          <w:rFonts w:ascii="Arial" w:hAnsi="Arial" w:cs="Arial"/>
        </w:rPr>
        <w:t>berichten, dass sie s</w:t>
      </w:r>
      <w:r>
        <w:rPr>
          <w:rFonts w:ascii="Arial" w:hAnsi="Arial" w:cs="Arial"/>
        </w:rPr>
        <w:t xml:space="preserve">ogar kein </w:t>
      </w:r>
      <w:r w:rsidR="00C7303B">
        <w:rPr>
          <w:rFonts w:ascii="Arial" w:hAnsi="Arial" w:cs="Arial"/>
        </w:rPr>
        <w:t>Änderungen vornehmen müssen</w:t>
      </w:r>
      <w:r>
        <w:rPr>
          <w:rFonts w:ascii="Arial" w:hAnsi="Arial" w:cs="Arial"/>
        </w:rPr>
        <w:t xml:space="preserve">. Anderen </w:t>
      </w:r>
      <w:r w:rsidR="00C7303B">
        <w:rPr>
          <w:rFonts w:ascii="Arial" w:hAnsi="Arial" w:cs="Arial"/>
        </w:rPr>
        <w:t xml:space="preserve">AST </w:t>
      </w:r>
      <w:r>
        <w:rPr>
          <w:rFonts w:ascii="Arial" w:hAnsi="Arial" w:cs="Arial"/>
        </w:rPr>
        <w:t xml:space="preserve">dürfte </w:t>
      </w:r>
      <w:r w:rsidR="00C7303B">
        <w:rPr>
          <w:rFonts w:ascii="Arial" w:hAnsi="Arial" w:cs="Arial"/>
        </w:rPr>
        <w:t xml:space="preserve">– je nach bestehenden Prozessen und Dokumentationen – </w:t>
      </w:r>
      <w:r>
        <w:rPr>
          <w:rFonts w:ascii="Arial" w:hAnsi="Arial" w:cs="Arial"/>
        </w:rPr>
        <w:t xml:space="preserve">ein einmaliger Zusatzaufwand bezüglich </w:t>
      </w:r>
      <w:r w:rsidRPr="00502608">
        <w:rPr>
          <w:rFonts w:ascii="Arial" w:hAnsi="Arial" w:cs="Arial"/>
        </w:rPr>
        <w:t xml:space="preserve">Umsetzung </w:t>
      </w:r>
      <w:r>
        <w:rPr>
          <w:rFonts w:ascii="Arial" w:hAnsi="Arial" w:cs="Arial"/>
        </w:rPr>
        <w:t xml:space="preserve">der Vorgaben zur internen Kontrolle, </w:t>
      </w:r>
      <w:r w:rsidR="00C7303B">
        <w:rPr>
          <w:rFonts w:ascii="Arial" w:hAnsi="Arial" w:cs="Arial"/>
        </w:rPr>
        <w:t>zum</w:t>
      </w:r>
      <w:r>
        <w:rPr>
          <w:rFonts w:ascii="Arial" w:hAnsi="Arial" w:cs="Arial"/>
        </w:rPr>
        <w:t xml:space="preserve"> </w:t>
      </w:r>
      <w:proofErr w:type="spellStart"/>
      <w:r>
        <w:rPr>
          <w:rFonts w:ascii="Arial" w:hAnsi="Arial" w:cs="Arial"/>
        </w:rPr>
        <w:t>Interessenskonfliktmanagment</w:t>
      </w:r>
      <w:proofErr w:type="spellEnd"/>
      <w:r>
        <w:rPr>
          <w:rFonts w:ascii="Arial" w:hAnsi="Arial" w:cs="Arial"/>
        </w:rPr>
        <w:t xml:space="preserve"> oder bei den </w:t>
      </w:r>
      <w:r w:rsidRPr="00502608">
        <w:rPr>
          <w:rFonts w:ascii="Arial" w:hAnsi="Arial" w:cs="Arial"/>
        </w:rPr>
        <w:t>Anforderungen an d</w:t>
      </w:r>
      <w:r>
        <w:rPr>
          <w:rFonts w:ascii="Arial" w:hAnsi="Arial" w:cs="Arial"/>
        </w:rPr>
        <w:t xml:space="preserve">ie </w:t>
      </w:r>
      <w:r w:rsidR="00C7303B">
        <w:rPr>
          <w:rFonts w:ascii="Arial" w:hAnsi="Arial" w:cs="Arial"/>
        </w:rPr>
        <w:t>v</w:t>
      </w:r>
      <w:r>
        <w:rPr>
          <w:rFonts w:ascii="Arial" w:hAnsi="Arial" w:cs="Arial"/>
        </w:rPr>
        <w:t xml:space="preserve">erantwortlichen Personen entstehen. Ein regelmässiger Aufwand hingegen besteht in Zukunft für alle bei den Meldepflichten mit den </w:t>
      </w:r>
      <w:r w:rsidR="00C7303B">
        <w:rPr>
          <w:rFonts w:ascii="Arial" w:hAnsi="Arial" w:cs="Arial"/>
        </w:rPr>
        <w:t>umfangreichen und</w:t>
      </w:r>
      <w:r>
        <w:rPr>
          <w:rFonts w:ascii="Arial" w:hAnsi="Arial" w:cs="Arial"/>
        </w:rPr>
        <w:t xml:space="preserve"> unterschiedlichen Formulare</w:t>
      </w:r>
      <w:r w:rsidR="00C7303B">
        <w:rPr>
          <w:rFonts w:ascii="Arial" w:hAnsi="Arial" w:cs="Arial"/>
        </w:rPr>
        <w:t>n</w:t>
      </w:r>
      <w:r w:rsidR="00270CB3">
        <w:rPr>
          <w:rFonts w:ascii="Arial" w:hAnsi="Arial" w:cs="Arial"/>
        </w:rPr>
        <w:t xml:space="preserve"> (</w:t>
      </w:r>
      <w:r w:rsidR="00DA33BE">
        <w:rPr>
          <w:rFonts w:ascii="Arial" w:hAnsi="Arial" w:cs="Arial"/>
        </w:rPr>
        <w:t>Gesuchsformulare, Medleformulare Formular für Prüfungsauftrag und Verschiedene Erklärungen zu den Formularen)</w:t>
      </w:r>
      <w:r w:rsidR="00C7303B">
        <w:rPr>
          <w:rFonts w:ascii="Arial" w:hAnsi="Arial" w:cs="Arial"/>
        </w:rPr>
        <w:t>.</w:t>
      </w:r>
    </w:p>
    <w:p w14:paraId="4379AF1A" w14:textId="77777777" w:rsidR="00E23675" w:rsidRDefault="00E23675" w:rsidP="004801B1">
      <w:pPr>
        <w:jc w:val="both"/>
        <w:rPr>
          <w:rFonts w:ascii="Arial" w:hAnsi="Arial" w:cs="Arial"/>
        </w:rPr>
      </w:pPr>
    </w:p>
    <w:p w14:paraId="6865B1A9" w14:textId="717C2A8F" w:rsidR="00426C28" w:rsidRDefault="00E23675">
      <w:r>
        <w:t>***</w:t>
      </w:r>
    </w:p>
    <w:sectPr w:rsidR="00426C28" w:rsidSect="00375F78">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95780" w14:textId="77777777" w:rsidR="00232692" w:rsidRDefault="00232692" w:rsidP="004801B1">
      <w:pPr>
        <w:spacing w:after="0" w:line="240" w:lineRule="auto"/>
      </w:pPr>
      <w:r>
        <w:separator/>
      </w:r>
    </w:p>
  </w:endnote>
  <w:endnote w:type="continuationSeparator" w:id="0">
    <w:p w14:paraId="0448B71F" w14:textId="77777777" w:rsidR="00232692" w:rsidRDefault="00232692" w:rsidP="0048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D6BC" w14:textId="77777777" w:rsidR="00E23675" w:rsidRDefault="00E23675" w:rsidP="00CF49AB">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6C6D2E7" w14:textId="77777777" w:rsidR="00E23675" w:rsidRDefault="00E23675" w:rsidP="00E2367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0CE9" w14:textId="77777777" w:rsidR="00E23675" w:rsidRDefault="00E23675" w:rsidP="00CF49AB">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A33BE">
      <w:rPr>
        <w:rStyle w:val="Seitenzahl"/>
        <w:noProof/>
      </w:rPr>
      <w:t>3</w:t>
    </w:r>
    <w:r>
      <w:rPr>
        <w:rStyle w:val="Seitenzahl"/>
      </w:rPr>
      <w:fldChar w:fldCharType="end"/>
    </w:r>
  </w:p>
  <w:p w14:paraId="6637B9BA" w14:textId="77777777" w:rsidR="00E23675" w:rsidRDefault="00E23675" w:rsidP="00E23675">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31E31" w14:textId="77777777" w:rsidR="00232692" w:rsidRDefault="00232692" w:rsidP="004801B1">
      <w:pPr>
        <w:spacing w:after="0" w:line="240" w:lineRule="auto"/>
      </w:pPr>
      <w:r>
        <w:separator/>
      </w:r>
    </w:p>
  </w:footnote>
  <w:footnote w:type="continuationSeparator" w:id="0">
    <w:p w14:paraId="02FD526B" w14:textId="77777777" w:rsidR="00232692" w:rsidRDefault="00232692" w:rsidP="004801B1">
      <w:pPr>
        <w:spacing w:after="0" w:line="240" w:lineRule="auto"/>
      </w:pPr>
      <w:r>
        <w:continuationSeparator/>
      </w:r>
    </w:p>
  </w:footnote>
  <w:footnote w:id="1">
    <w:p w14:paraId="6F55BDFF" w14:textId="496A65BA" w:rsidR="004801B1" w:rsidRPr="003B0124" w:rsidRDefault="004801B1" w:rsidP="004801B1">
      <w:pPr>
        <w:pStyle w:val="Funotentext"/>
        <w:rPr>
          <w:rFonts w:ascii="Arial" w:hAnsi="Arial" w:cs="Arial"/>
          <w:sz w:val="18"/>
          <w:szCs w:val="18"/>
        </w:rPr>
      </w:pPr>
      <w:r w:rsidRPr="003B0124">
        <w:rPr>
          <w:rStyle w:val="Funotenzeichen"/>
          <w:rFonts w:ascii="Arial" w:hAnsi="Arial" w:cs="Arial"/>
          <w:sz w:val="18"/>
          <w:szCs w:val="18"/>
        </w:rPr>
        <w:footnoteRef/>
      </w:r>
      <w:r w:rsidRPr="003B0124">
        <w:rPr>
          <w:rFonts w:ascii="Arial" w:hAnsi="Arial" w:cs="Arial"/>
          <w:sz w:val="18"/>
          <w:szCs w:val="18"/>
        </w:rPr>
        <w:t xml:space="preserve"> Ein „System“ geht sehr viel weiter, als eine „adäquate Kontrolle“ gemäss ASV Art. 7 Abs. 3. Es muss dem Stiftungsrat überlassen werden, was in Rahmen seiner Stiftung „angemessen“ ist. Die Aufsicht hat die Kompetenzen des Stiftungsrates zu respektieren und darf hier nicht unnötig in dessen Kompetenzen eingreifen.</w:t>
      </w:r>
    </w:p>
  </w:footnote>
  <w:footnote w:id="2">
    <w:p w14:paraId="4766E010" w14:textId="405D2B3F" w:rsidR="004801B1" w:rsidRPr="003B0124" w:rsidRDefault="004801B1" w:rsidP="004801B1">
      <w:pPr>
        <w:jc w:val="both"/>
        <w:rPr>
          <w:rFonts w:ascii="Arial" w:hAnsi="Arial" w:cs="Arial"/>
          <w:sz w:val="18"/>
          <w:szCs w:val="18"/>
        </w:rPr>
      </w:pPr>
      <w:r w:rsidRPr="003B0124">
        <w:rPr>
          <w:rStyle w:val="Funotenzeichen"/>
          <w:rFonts w:ascii="Arial" w:hAnsi="Arial" w:cs="Arial"/>
          <w:sz w:val="18"/>
          <w:szCs w:val="18"/>
        </w:rPr>
        <w:footnoteRef/>
      </w:r>
      <w:r w:rsidRPr="003B0124">
        <w:rPr>
          <w:rFonts w:ascii="Arial" w:hAnsi="Arial" w:cs="Arial"/>
          <w:sz w:val="18"/>
          <w:szCs w:val="18"/>
        </w:rPr>
        <w:t xml:space="preserve"> Der Begriff IKS ist mit dem Prüfungsstandard 890</w:t>
      </w:r>
      <w:r w:rsidR="00C7303B">
        <w:rPr>
          <w:rFonts w:ascii="Arial" w:hAnsi="Arial" w:cs="Arial"/>
          <w:sz w:val="18"/>
          <w:szCs w:val="18"/>
        </w:rPr>
        <w:t xml:space="preserve"> </w:t>
      </w:r>
      <w:r w:rsidRPr="003B0124">
        <w:rPr>
          <w:rFonts w:ascii="Arial" w:hAnsi="Arial" w:cs="Arial"/>
          <w:sz w:val="18"/>
          <w:szCs w:val="18"/>
        </w:rPr>
        <w:t xml:space="preserve">von </w:t>
      </w:r>
      <w:proofErr w:type="spellStart"/>
      <w:r w:rsidRPr="003B0124">
        <w:rPr>
          <w:rFonts w:ascii="Arial" w:hAnsi="Arial" w:cs="Arial"/>
          <w:sz w:val="18"/>
          <w:szCs w:val="18"/>
        </w:rPr>
        <w:t>Expertsuisse</w:t>
      </w:r>
      <w:proofErr w:type="spellEnd"/>
      <w:r w:rsidRPr="003B0124">
        <w:rPr>
          <w:rFonts w:ascii="Arial" w:hAnsi="Arial" w:cs="Arial"/>
          <w:sz w:val="18"/>
          <w:szCs w:val="18"/>
        </w:rPr>
        <w:t xml:space="preserve"> belegt. Dieser darf nicht einfach </w:t>
      </w:r>
      <w:r w:rsidR="00C7303B">
        <w:rPr>
          <w:rFonts w:ascii="Arial" w:hAnsi="Arial" w:cs="Arial"/>
          <w:sz w:val="18"/>
          <w:szCs w:val="18"/>
        </w:rPr>
        <w:t xml:space="preserve">zum </w:t>
      </w:r>
      <w:r w:rsidRPr="003B0124">
        <w:rPr>
          <w:rFonts w:ascii="Arial" w:hAnsi="Arial" w:cs="Arial"/>
          <w:sz w:val="18"/>
          <w:szCs w:val="18"/>
        </w:rPr>
        <w:t>neu</w:t>
      </w:r>
      <w:r w:rsidR="00C7303B">
        <w:rPr>
          <w:rFonts w:ascii="Arial" w:hAnsi="Arial" w:cs="Arial"/>
          <w:sz w:val="18"/>
          <w:szCs w:val="18"/>
        </w:rPr>
        <w:t>en, weitergehenden</w:t>
      </w:r>
      <w:r w:rsidRPr="003B0124">
        <w:rPr>
          <w:rFonts w:ascii="Arial" w:hAnsi="Arial" w:cs="Arial"/>
          <w:sz w:val="18"/>
          <w:szCs w:val="18"/>
        </w:rPr>
        <w:t xml:space="preserve"> Standard für Anlagestiftungen </w:t>
      </w:r>
      <w:r w:rsidR="00C7303B">
        <w:rPr>
          <w:rFonts w:ascii="Arial" w:hAnsi="Arial" w:cs="Arial"/>
          <w:sz w:val="18"/>
          <w:szCs w:val="18"/>
        </w:rPr>
        <w:t>erhoben werden</w:t>
      </w:r>
      <w:r w:rsidRPr="003B0124">
        <w:rPr>
          <w:rFonts w:ascii="Arial" w:hAnsi="Arial" w:cs="Arial"/>
          <w:sz w:val="18"/>
          <w:szCs w:val="18"/>
        </w:rPr>
        <w:t xml:space="preserve">. </w:t>
      </w:r>
    </w:p>
    <w:p w14:paraId="50AEAC8A" w14:textId="77777777" w:rsidR="004801B1" w:rsidRDefault="004801B1" w:rsidP="004801B1">
      <w:pPr>
        <w:pStyle w:val="Funoten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7668F"/>
    <w:multiLevelType w:val="hybridMultilevel"/>
    <w:tmpl w:val="F37EC2A8"/>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nsid w:val="64C475A2"/>
    <w:multiLevelType w:val="hybridMultilevel"/>
    <w:tmpl w:val="40FC96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B1"/>
    <w:rsid w:val="00226185"/>
    <w:rsid w:val="00232692"/>
    <w:rsid w:val="00270CB3"/>
    <w:rsid w:val="00375F78"/>
    <w:rsid w:val="003D060D"/>
    <w:rsid w:val="003F6577"/>
    <w:rsid w:val="00426C28"/>
    <w:rsid w:val="004801B1"/>
    <w:rsid w:val="00980E98"/>
    <w:rsid w:val="00AB37DC"/>
    <w:rsid w:val="00C2645B"/>
    <w:rsid w:val="00C7303B"/>
    <w:rsid w:val="00C75D0C"/>
    <w:rsid w:val="00DA33BE"/>
    <w:rsid w:val="00E23675"/>
    <w:rsid w:val="00F77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193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1B1"/>
    <w:pPr>
      <w:spacing w:after="200" w:line="276" w:lineRule="auto"/>
    </w:pPr>
    <w:rPr>
      <w:rFonts w:ascii="Calibri" w:eastAsia="Calibri" w:hAnsi="Calibri" w:cs="Times New Roman"/>
      <w:sz w:val="22"/>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01B1"/>
    <w:pPr>
      <w:ind w:left="720"/>
      <w:contextualSpacing/>
    </w:pPr>
  </w:style>
  <w:style w:type="paragraph" w:styleId="Funotentext">
    <w:name w:val="footnote text"/>
    <w:basedOn w:val="Standard"/>
    <w:link w:val="FunotentextZchn"/>
    <w:unhideWhenUsed/>
    <w:rsid w:val="004801B1"/>
    <w:rPr>
      <w:sz w:val="20"/>
      <w:szCs w:val="20"/>
    </w:rPr>
  </w:style>
  <w:style w:type="character" w:customStyle="1" w:styleId="FunotentextZchn">
    <w:name w:val="Fußnotentext Zchn"/>
    <w:basedOn w:val="Absatz-Standardschriftart"/>
    <w:link w:val="Funotentext"/>
    <w:rsid w:val="004801B1"/>
    <w:rPr>
      <w:rFonts w:ascii="Calibri" w:eastAsia="Calibri" w:hAnsi="Calibri" w:cs="Times New Roman"/>
      <w:sz w:val="20"/>
      <w:szCs w:val="20"/>
      <w:lang w:val="de-CH"/>
    </w:rPr>
  </w:style>
  <w:style w:type="character" w:styleId="Funotenzeichen">
    <w:name w:val="footnote reference"/>
    <w:unhideWhenUsed/>
    <w:rsid w:val="004801B1"/>
    <w:rPr>
      <w:vertAlign w:val="superscript"/>
    </w:rPr>
  </w:style>
  <w:style w:type="paragraph" w:styleId="Fuzeile">
    <w:name w:val="footer"/>
    <w:basedOn w:val="Standard"/>
    <w:link w:val="FuzeileZchn"/>
    <w:uiPriority w:val="99"/>
    <w:unhideWhenUsed/>
    <w:rsid w:val="00E236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3675"/>
    <w:rPr>
      <w:rFonts w:ascii="Calibri" w:eastAsia="Calibri" w:hAnsi="Calibri" w:cs="Times New Roman"/>
      <w:sz w:val="22"/>
      <w:szCs w:val="22"/>
      <w:lang w:val="de-CH"/>
    </w:rPr>
  </w:style>
  <w:style w:type="character" w:styleId="Seitenzahl">
    <w:name w:val="page number"/>
    <w:basedOn w:val="Absatz-Standardschriftart"/>
    <w:uiPriority w:val="99"/>
    <w:semiHidden/>
    <w:unhideWhenUsed/>
    <w:rsid w:val="00E23675"/>
  </w:style>
  <w:style w:type="character" w:styleId="Kommentarzeichen">
    <w:name w:val="annotation reference"/>
    <w:basedOn w:val="Absatz-Standardschriftart"/>
    <w:uiPriority w:val="99"/>
    <w:semiHidden/>
    <w:unhideWhenUsed/>
    <w:rsid w:val="003D060D"/>
    <w:rPr>
      <w:sz w:val="16"/>
      <w:szCs w:val="16"/>
    </w:rPr>
  </w:style>
  <w:style w:type="paragraph" w:styleId="Kommentartext">
    <w:name w:val="annotation text"/>
    <w:basedOn w:val="Standard"/>
    <w:link w:val="KommentartextZchn"/>
    <w:uiPriority w:val="99"/>
    <w:semiHidden/>
    <w:unhideWhenUsed/>
    <w:rsid w:val="003D060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D060D"/>
    <w:rPr>
      <w:rFonts w:ascii="Calibri" w:eastAsia="Calibri" w:hAnsi="Calibri" w:cs="Times New Roman"/>
      <w:sz w:val="20"/>
      <w:szCs w:val="20"/>
      <w:lang w:val="de-CH"/>
    </w:rPr>
  </w:style>
  <w:style w:type="paragraph" w:styleId="Kommentarthema">
    <w:name w:val="annotation subject"/>
    <w:basedOn w:val="Kommentartext"/>
    <w:next w:val="Kommentartext"/>
    <w:link w:val="KommentarthemaZchn"/>
    <w:uiPriority w:val="99"/>
    <w:semiHidden/>
    <w:unhideWhenUsed/>
    <w:rsid w:val="003D060D"/>
    <w:rPr>
      <w:b/>
      <w:bCs/>
    </w:rPr>
  </w:style>
  <w:style w:type="character" w:customStyle="1" w:styleId="KommentarthemaZchn">
    <w:name w:val="Kommentarthema Zchn"/>
    <w:basedOn w:val="KommentartextZchn"/>
    <w:link w:val="Kommentarthema"/>
    <w:uiPriority w:val="99"/>
    <w:semiHidden/>
    <w:rsid w:val="003D060D"/>
    <w:rPr>
      <w:rFonts w:ascii="Calibri" w:eastAsia="Calibri" w:hAnsi="Calibri" w:cs="Times New Roman"/>
      <w:b/>
      <w:bCs/>
      <w:sz w:val="20"/>
      <w:szCs w:val="20"/>
      <w:lang w:val="de-CH"/>
    </w:rPr>
  </w:style>
  <w:style w:type="paragraph" w:styleId="Sprechblasentext">
    <w:name w:val="Balloon Text"/>
    <w:basedOn w:val="Standard"/>
    <w:link w:val="SprechblasentextZchn"/>
    <w:uiPriority w:val="99"/>
    <w:semiHidden/>
    <w:unhideWhenUsed/>
    <w:rsid w:val="003D06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060D"/>
    <w:rPr>
      <w:rFonts w:ascii="Segoe UI" w:eastAsia="Calibri" w:hAnsi="Segoe UI" w:cs="Segoe UI"/>
      <w:sz w:val="18"/>
      <w:szCs w:val="18"/>
      <w:lang w:val="de-CH"/>
    </w:rPr>
  </w:style>
  <w:style w:type="paragraph" w:styleId="StandardWeb">
    <w:name w:val="Normal (Web)"/>
    <w:basedOn w:val="Standard"/>
    <w:uiPriority w:val="99"/>
    <w:semiHidden/>
    <w:unhideWhenUsed/>
    <w:rsid w:val="00270CB3"/>
    <w:pPr>
      <w:spacing w:before="100" w:beforeAutospacing="1" w:after="100" w:afterAutospacing="1" w:line="240" w:lineRule="auto"/>
    </w:pPr>
    <w:rPr>
      <w:rFonts w:ascii="Times New Roman" w:eastAsiaTheme="minorHAnsi"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8959">
      <w:bodyDiv w:val="1"/>
      <w:marLeft w:val="0"/>
      <w:marRight w:val="0"/>
      <w:marTop w:val="0"/>
      <w:marBottom w:val="0"/>
      <w:divBdr>
        <w:top w:val="none" w:sz="0" w:space="0" w:color="auto"/>
        <w:left w:val="none" w:sz="0" w:space="0" w:color="auto"/>
        <w:bottom w:val="none" w:sz="0" w:space="0" w:color="auto"/>
        <w:right w:val="none" w:sz="0" w:space="0" w:color="auto"/>
      </w:divBdr>
      <w:divsChild>
        <w:div w:id="1754661932">
          <w:marLeft w:val="0"/>
          <w:marRight w:val="0"/>
          <w:marTop w:val="0"/>
          <w:marBottom w:val="0"/>
          <w:divBdr>
            <w:top w:val="none" w:sz="0" w:space="0" w:color="auto"/>
            <w:left w:val="none" w:sz="0" w:space="0" w:color="auto"/>
            <w:bottom w:val="none" w:sz="0" w:space="0" w:color="auto"/>
            <w:right w:val="none" w:sz="0" w:space="0" w:color="auto"/>
          </w:divBdr>
          <w:divsChild>
            <w:div w:id="1351447880">
              <w:marLeft w:val="0"/>
              <w:marRight w:val="0"/>
              <w:marTop w:val="0"/>
              <w:marBottom w:val="0"/>
              <w:divBdr>
                <w:top w:val="none" w:sz="0" w:space="0" w:color="auto"/>
                <w:left w:val="none" w:sz="0" w:space="0" w:color="auto"/>
                <w:bottom w:val="none" w:sz="0" w:space="0" w:color="auto"/>
                <w:right w:val="none" w:sz="0" w:space="0" w:color="auto"/>
              </w:divBdr>
              <w:divsChild>
                <w:div w:id="1009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6870</Characters>
  <Application>Microsoft Macintosh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Kriemler</dc:creator>
  <cp:keywords/>
  <dc:description/>
  <cp:lastModifiedBy>Roland Kriemler</cp:lastModifiedBy>
  <cp:revision>3</cp:revision>
  <cp:lastPrinted>2016-09-19T15:53:00Z</cp:lastPrinted>
  <dcterms:created xsi:type="dcterms:W3CDTF">2016-09-24T10:49:00Z</dcterms:created>
  <dcterms:modified xsi:type="dcterms:W3CDTF">2016-09-24T11:05:00Z</dcterms:modified>
</cp:coreProperties>
</file>