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2BA9" w:rsidRPr="00E934FA" w:rsidRDefault="00A22BA9" w:rsidP="00A22BA9">
      <w:pPr>
        <w:jc w:val="center"/>
        <w:rPr>
          <w:b/>
          <w:lang w:eastAsia="de-CH"/>
        </w:rPr>
      </w:pPr>
      <w:bookmarkStart w:id="0" w:name="_GoBack"/>
      <w:bookmarkEnd w:id="0"/>
      <w:r w:rsidRPr="00E934FA">
        <w:rPr>
          <w:b/>
          <w:lang w:eastAsia="de-CH"/>
        </w:rPr>
        <w:t>Vorschlag für eine Revision ausgewählter Bestimmungen der Verordnung über die Anlagestiftungen (ASV)</w:t>
      </w:r>
    </w:p>
    <w:p w:rsidR="00051A28" w:rsidRPr="00E934FA" w:rsidRDefault="00051A28" w:rsidP="00051A28">
      <w:pPr>
        <w:pStyle w:val="ZAnhang3"/>
        <w:numPr>
          <w:ilvl w:val="0"/>
          <w:numId w:val="0"/>
        </w:numPr>
        <w:ind w:left="709"/>
        <w:rPr>
          <w:lang w:eastAsia="de-CH"/>
        </w:rPr>
      </w:pPr>
    </w:p>
    <w:p w:rsidR="00A22BA9" w:rsidRPr="00E934FA" w:rsidRDefault="00A22BA9" w:rsidP="00A22BA9">
      <w:pPr>
        <w:pStyle w:val="ZAnhang3"/>
        <w:rPr>
          <w:lang w:eastAsia="de-CH"/>
        </w:rPr>
      </w:pPr>
      <w:r w:rsidRPr="00E934FA">
        <w:rPr>
          <w:lang w:eastAsia="de-CH"/>
        </w:rPr>
        <w:t>Allgemeine Bemerkungen</w:t>
      </w:r>
    </w:p>
    <w:tbl>
      <w:tblPr>
        <w:tblStyle w:val="Tabellenraster"/>
        <w:tblW w:w="0" w:type="auto"/>
        <w:tblLook w:val="04A0" w:firstRow="1" w:lastRow="0" w:firstColumn="1" w:lastColumn="0" w:noHBand="0" w:noVBand="1"/>
      </w:tblPr>
      <w:tblGrid>
        <w:gridCol w:w="13652"/>
      </w:tblGrid>
      <w:tr w:rsidR="00624DDE" w:rsidRPr="00E934FA" w:rsidTr="00051A28">
        <w:tc>
          <w:tcPr>
            <w:tcW w:w="13803" w:type="dxa"/>
            <w:tcBorders>
              <w:top w:val="nil"/>
              <w:left w:val="nil"/>
              <w:bottom w:val="nil"/>
              <w:right w:val="nil"/>
            </w:tcBorders>
          </w:tcPr>
          <w:p w:rsidR="00432149" w:rsidRPr="00E934FA" w:rsidRDefault="002F41C8" w:rsidP="001252B1">
            <w:pPr>
              <w:rPr>
                <w:lang w:eastAsia="de-CH"/>
              </w:rPr>
            </w:pPr>
            <w:r w:rsidRPr="00E934FA">
              <w:rPr>
                <w:lang w:eastAsia="de-CH"/>
              </w:rPr>
              <w:t>Die KGAST nahm</w:t>
            </w:r>
            <w:r w:rsidR="00432149" w:rsidRPr="00E934FA">
              <w:rPr>
                <w:lang w:eastAsia="de-CH"/>
              </w:rPr>
              <w:t xml:space="preserve"> im Rahmen der Vernehmlassung zur ASV mit ihrer Eingabe vom 10. Februar 2011 ausführlich zum damaligen Entwurf der ASV Stellung. Zwar wurden in der Folge verschiedene Anliegen der Branchenvertreter aufgenommen und in der definitiven Version der ASV berücksichtigt, Kritik an grundlegende</w:t>
            </w:r>
            <w:r w:rsidR="009C63B0" w:rsidRPr="00E934FA">
              <w:rPr>
                <w:lang w:eastAsia="de-CH"/>
              </w:rPr>
              <w:t>n</w:t>
            </w:r>
            <w:r w:rsidR="00432149" w:rsidRPr="00E934FA">
              <w:rPr>
                <w:lang w:eastAsia="de-CH"/>
              </w:rPr>
              <w:t xml:space="preserve"> Mängel</w:t>
            </w:r>
            <w:r w:rsidR="009C63B0" w:rsidRPr="00E934FA">
              <w:rPr>
                <w:lang w:eastAsia="de-CH"/>
              </w:rPr>
              <w:t>n</w:t>
            </w:r>
            <w:r w:rsidR="00432149" w:rsidRPr="00E934FA">
              <w:rPr>
                <w:lang w:eastAsia="de-CH"/>
              </w:rPr>
              <w:t xml:space="preserve"> des Entwurfs </w:t>
            </w:r>
            <w:r w:rsidR="009C63B0" w:rsidRPr="00E934FA">
              <w:rPr>
                <w:lang w:eastAsia="de-CH"/>
              </w:rPr>
              <w:t xml:space="preserve">blieb aber </w:t>
            </w:r>
            <w:r w:rsidRPr="00E934FA">
              <w:rPr>
                <w:lang w:eastAsia="de-CH"/>
              </w:rPr>
              <w:t xml:space="preserve">leider </w:t>
            </w:r>
            <w:r w:rsidR="009C63B0" w:rsidRPr="00E934FA">
              <w:rPr>
                <w:lang w:eastAsia="de-CH"/>
              </w:rPr>
              <w:t xml:space="preserve">ungehört und fand keinen </w:t>
            </w:r>
            <w:r w:rsidR="00432149" w:rsidRPr="00E934FA">
              <w:rPr>
                <w:lang w:eastAsia="de-CH"/>
              </w:rPr>
              <w:t xml:space="preserve">Eingang in die </w:t>
            </w:r>
            <w:r w:rsidRPr="00E934FA">
              <w:rPr>
                <w:lang w:eastAsia="de-CH"/>
              </w:rPr>
              <w:t xml:space="preserve">nun </w:t>
            </w:r>
            <w:r w:rsidR="00432149" w:rsidRPr="00E934FA">
              <w:rPr>
                <w:lang w:eastAsia="de-CH"/>
              </w:rPr>
              <w:t>geltende ASV</w:t>
            </w:r>
            <w:r w:rsidR="009C63B0" w:rsidRPr="00E934FA">
              <w:rPr>
                <w:lang w:eastAsia="de-CH"/>
              </w:rPr>
              <w:t>. Seit dem Inkrafttreten der ASV am 1. Januar 2012 hat es lediglich kleinere Anpassungen gegeben, die gravierenden Mängel der ASV s</w:t>
            </w:r>
            <w:r w:rsidRPr="00E934FA">
              <w:rPr>
                <w:lang w:eastAsia="de-CH"/>
              </w:rPr>
              <w:t>ind nicht beseitigt. So hat selbst</w:t>
            </w:r>
            <w:r w:rsidR="009C63B0" w:rsidRPr="00E934FA">
              <w:rPr>
                <w:lang w:eastAsia="de-CH"/>
              </w:rPr>
              <w:t xml:space="preserve"> die Oberaufsichtskommission Berufliche Vorsorge (OAK BV) in ihrem Tätigkeitsbericht 2013 festgehalten, dass die laufende Aufsicht über die Anlagestiftungen Anpassungsb</w:t>
            </w:r>
            <w:r w:rsidRPr="00E934FA">
              <w:rPr>
                <w:lang w:eastAsia="de-CH"/>
              </w:rPr>
              <w:t>edarf bei der ASV aufgezeigt habe, wobei sie insbesondere</w:t>
            </w:r>
            <w:r w:rsidR="00595CD4" w:rsidRPr="00E934FA">
              <w:rPr>
                <w:lang w:eastAsia="de-CH"/>
              </w:rPr>
              <w:t xml:space="preserve"> </w:t>
            </w:r>
            <w:r w:rsidR="009C63B0" w:rsidRPr="00E934FA">
              <w:rPr>
                <w:lang w:eastAsia="de-CH"/>
              </w:rPr>
              <w:t xml:space="preserve">die Ungleichbehandlung </w:t>
            </w:r>
            <w:r w:rsidR="008F009A" w:rsidRPr="00E934FA">
              <w:rPr>
                <w:lang w:eastAsia="de-CH"/>
              </w:rPr>
              <w:t xml:space="preserve">zum Nachteil </w:t>
            </w:r>
            <w:r w:rsidR="009C63B0" w:rsidRPr="00E934FA">
              <w:rPr>
                <w:lang w:eastAsia="de-CH"/>
              </w:rPr>
              <w:t>der Anlagestif</w:t>
            </w:r>
            <w:r w:rsidRPr="00E934FA">
              <w:rPr>
                <w:lang w:eastAsia="de-CH"/>
              </w:rPr>
              <w:t>tungen bemängelt hat</w:t>
            </w:r>
            <w:r w:rsidR="009C63B0" w:rsidRPr="00E934FA">
              <w:rPr>
                <w:lang w:eastAsia="de-CH"/>
              </w:rPr>
              <w:t>.</w:t>
            </w:r>
          </w:p>
          <w:p w:rsidR="008F009A" w:rsidRPr="00E934FA" w:rsidRDefault="005038DC" w:rsidP="001252B1">
            <w:pPr>
              <w:rPr>
                <w:lang w:eastAsia="de-CH"/>
              </w:rPr>
            </w:pPr>
            <w:r w:rsidRPr="00E934FA">
              <w:rPr>
                <w:lang w:eastAsia="de-CH"/>
              </w:rPr>
              <w:t>Das vorliegende Schreiben verfolgt den Zweck, die aus Sicht der KGAST</w:t>
            </w:r>
            <w:r w:rsidR="007D09F5" w:rsidRPr="00E934FA">
              <w:rPr>
                <w:lang w:eastAsia="de-CH"/>
              </w:rPr>
              <w:t xml:space="preserve"> grundlegenden</w:t>
            </w:r>
            <w:r w:rsidRPr="00E934FA">
              <w:rPr>
                <w:lang w:eastAsia="de-CH"/>
              </w:rPr>
              <w:t xml:space="preserve"> Mängel der ASV aufzuzeigen und einen </w:t>
            </w:r>
            <w:r w:rsidR="00E7701E" w:rsidRPr="00E934FA">
              <w:rPr>
                <w:lang w:eastAsia="de-CH"/>
              </w:rPr>
              <w:t>Vorschlag zur Revi</w:t>
            </w:r>
            <w:r w:rsidR="008A0B93" w:rsidRPr="00E934FA">
              <w:rPr>
                <w:lang w:eastAsia="de-CH"/>
              </w:rPr>
              <w:t>sion zu unter</w:t>
            </w:r>
            <w:r w:rsidR="001F70AF" w:rsidRPr="00E934FA">
              <w:rPr>
                <w:lang w:eastAsia="de-CH"/>
              </w:rPr>
              <w:t>breiten, wobei der Fokus auf den</w:t>
            </w:r>
            <w:r w:rsidR="008A0B93" w:rsidRPr="00E934FA">
              <w:rPr>
                <w:lang w:eastAsia="de-CH"/>
              </w:rPr>
              <w:t xml:space="preserve"> Bereich der Anlagen </w:t>
            </w:r>
            <w:r w:rsidR="007D09F5" w:rsidRPr="00E934FA">
              <w:rPr>
                <w:lang w:eastAsia="de-CH"/>
              </w:rPr>
              <w:t>(</w:t>
            </w:r>
            <w:r w:rsidR="001F70AF" w:rsidRPr="00E934FA">
              <w:rPr>
                <w:lang w:eastAsia="de-CH"/>
              </w:rPr>
              <w:t xml:space="preserve">sowohl </w:t>
            </w:r>
            <w:r w:rsidR="008A0B93" w:rsidRPr="00E934FA">
              <w:rPr>
                <w:lang w:eastAsia="de-CH"/>
              </w:rPr>
              <w:t>im Stam</w:t>
            </w:r>
            <w:r w:rsidR="001F70AF" w:rsidRPr="00E934FA">
              <w:rPr>
                <w:lang w:eastAsia="de-CH"/>
              </w:rPr>
              <w:t>m- als auch</w:t>
            </w:r>
            <w:r w:rsidR="008A0B93" w:rsidRPr="00E934FA">
              <w:rPr>
                <w:lang w:eastAsia="de-CH"/>
              </w:rPr>
              <w:t xml:space="preserve"> </w:t>
            </w:r>
            <w:r w:rsidR="001F70AF" w:rsidRPr="00E934FA">
              <w:rPr>
                <w:lang w:eastAsia="de-CH"/>
              </w:rPr>
              <w:t xml:space="preserve">im </w:t>
            </w:r>
            <w:r w:rsidR="008A0B93" w:rsidRPr="00E934FA">
              <w:rPr>
                <w:lang w:eastAsia="de-CH"/>
              </w:rPr>
              <w:t>Anlagevermögen</w:t>
            </w:r>
            <w:r w:rsidR="007D09F5" w:rsidRPr="00E934FA">
              <w:rPr>
                <w:lang w:eastAsia="de-CH"/>
              </w:rPr>
              <w:t>)</w:t>
            </w:r>
            <w:r w:rsidR="008A0B93" w:rsidRPr="00E934FA">
              <w:rPr>
                <w:lang w:eastAsia="de-CH"/>
              </w:rPr>
              <w:t xml:space="preserve"> gelegt wird.</w:t>
            </w:r>
          </w:p>
          <w:p w:rsidR="007D4B95" w:rsidRPr="00E934FA" w:rsidRDefault="001F70AF" w:rsidP="001252B1">
            <w:pPr>
              <w:rPr>
                <w:b/>
                <w:lang w:eastAsia="de-CH"/>
              </w:rPr>
            </w:pPr>
            <w:r w:rsidRPr="00E934FA">
              <w:rPr>
                <w:b/>
                <w:lang w:eastAsia="de-CH"/>
              </w:rPr>
              <w:t>Hintergrund ist, dass d</w:t>
            </w:r>
            <w:r w:rsidR="00CE29F6" w:rsidRPr="00E934FA">
              <w:rPr>
                <w:b/>
                <w:lang w:eastAsia="de-CH"/>
              </w:rPr>
              <w:t>ie geltenden Bestimmung</w:t>
            </w:r>
            <w:r w:rsidR="00FB7CF5" w:rsidRPr="00E934FA">
              <w:rPr>
                <w:b/>
                <w:lang w:eastAsia="de-CH"/>
              </w:rPr>
              <w:t>en</w:t>
            </w:r>
            <w:r w:rsidR="00CE29F6" w:rsidRPr="00E934FA">
              <w:rPr>
                <w:b/>
                <w:lang w:eastAsia="de-CH"/>
              </w:rPr>
              <w:t xml:space="preserve"> der AS</w:t>
            </w:r>
            <w:r w:rsidR="00595CD4" w:rsidRPr="00E934FA">
              <w:rPr>
                <w:b/>
                <w:lang w:eastAsia="de-CH"/>
              </w:rPr>
              <w:t>V</w:t>
            </w:r>
            <w:r w:rsidR="007D4B95" w:rsidRPr="00E934FA">
              <w:rPr>
                <w:b/>
                <w:lang w:eastAsia="de-CH"/>
              </w:rPr>
              <w:t>…</w:t>
            </w:r>
          </w:p>
          <w:p w:rsidR="00CE29F6" w:rsidRPr="00E934FA" w:rsidRDefault="00C270C7" w:rsidP="001252B1">
            <w:pPr>
              <w:rPr>
                <w:b/>
                <w:lang w:eastAsia="de-CH"/>
              </w:rPr>
            </w:pPr>
            <w:r w:rsidRPr="00E934FA">
              <w:rPr>
                <w:b/>
                <w:lang w:eastAsia="de-CH"/>
              </w:rPr>
              <w:t xml:space="preserve">... </w:t>
            </w:r>
            <w:r w:rsidR="00BF5CD3" w:rsidRPr="00E934FA">
              <w:rPr>
                <w:b/>
                <w:lang w:eastAsia="de-CH"/>
              </w:rPr>
              <w:t xml:space="preserve">dem </w:t>
            </w:r>
            <w:r w:rsidR="00CE29F6" w:rsidRPr="00E934FA">
              <w:rPr>
                <w:b/>
                <w:lang w:eastAsia="de-CH"/>
              </w:rPr>
              <w:t xml:space="preserve">Gesetz </w:t>
            </w:r>
            <w:r w:rsidR="00BF5CD3" w:rsidRPr="00E934FA">
              <w:rPr>
                <w:b/>
                <w:lang w:eastAsia="de-CH"/>
              </w:rPr>
              <w:t xml:space="preserve">(BVG) </w:t>
            </w:r>
            <w:r w:rsidR="00CE29F6" w:rsidRPr="00E934FA">
              <w:rPr>
                <w:b/>
                <w:lang w:eastAsia="de-CH"/>
              </w:rPr>
              <w:t xml:space="preserve">und </w:t>
            </w:r>
            <w:r w:rsidR="00BF5CD3" w:rsidRPr="00E934FA">
              <w:rPr>
                <w:b/>
                <w:lang w:eastAsia="de-CH"/>
              </w:rPr>
              <w:t xml:space="preserve">der </w:t>
            </w:r>
            <w:r w:rsidR="00CE29F6" w:rsidRPr="00E934FA">
              <w:rPr>
                <w:b/>
                <w:lang w:eastAsia="de-CH"/>
              </w:rPr>
              <w:t>Verfassung</w:t>
            </w:r>
            <w:r w:rsidR="001F70AF" w:rsidRPr="00E934FA">
              <w:rPr>
                <w:b/>
                <w:lang w:eastAsia="de-CH"/>
              </w:rPr>
              <w:t xml:space="preserve"> widersprechen</w:t>
            </w:r>
          </w:p>
          <w:p w:rsidR="00E95EE2" w:rsidRPr="00E934FA" w:rsidRDefault="003D1FD0" w:rsidP="001F70AF">
            <w:pPr>
              <w:spacing w:after="120"/>
              <w:ind w:left="284"/>
              <w:rPr>
                <w:rFonts w:eastAsia="Arial Unicode MS"/>
              </w:rPr>
            </w:pPr>
            <w:bookmarkStart w:id="1" w:name="_Ref246319516"/>
            <w:r w:rsidRPr="00E934FA">
              <w:rPr>
                <w:rFonts w:eastAsia="Arial Unicode MS"/>
              </w:rPr>
              <w:t xml:space="preserve">Anlagestiftungen entstanden aus dem Bedürfnis, eine auf die Vorsorgewerke zugeschnittene, steuerbegünstigte kollektive Anlage zu ermöglichen, einerseits um Kosten zu sparen, andererseits um die Vorsorgeeinrichtung von den Anforderungen der Vermögensverwaltung zu entlasten. Entstanden sind die Anlagestiftungen demnach als </w:t>
            </w:r>
            <w:r w:rsidRPr="00E934FA">
              <w:rPr>
                <w:rFonts w:eastAsia="Arial Unicode MS"/>
                <w:i/>
              </w:rPr>
              <w:t xml:space="preserve">Selbsthilfeeinrichtungen </w:t>
            </w:r>
            <w:r w:rsidRPr="00E934FA">
              <w:rPr>
                <w:rFonts w:eastAsia="Arial Unicode MS"/>
              </w:rPr>
              <w:t xml:space="preserve">der Vorsorgewerke, weshalb sie auf die </w:t>
            </w:r>
            <w:r w:rsidR="002F41C8" w:rsidRPr="00E934FA">
              <w:rPr>
                <w:rFonts w:eastAsia="Arial Unicode MS"/>
              </w:rPr>
              <w:t xml:space="preserve">spezifischen </w:t>
            </w:r>
            <w:r w:rsidRPr="00E934FA">
              <w:rPr>
                <w:rFonts w:eastAsia="Arial Unicode MS"/>
              </w:rPr>
              <w:t>Bedürfnisse der Anleger (Vorsorgewerke) zugeschnitten sind.</w:t>
            </w:r>
            <w:r w:rsidR="00205683" w:rsidRPr="00E934FA">
              <w:rPr>
                <w:rFonts w:eastAsia="Arial Unicode MS"/>
              </w:rPr>
              <w:t xml:space="preserve"> </w:t>
            </w:r>
          </w:p>
          <w:p w:rsidR="00E95EE2" w:rsidRPr="00E934FA" w:rsidRDefault="003D1FD0" w:rsidP="001F70AF">
            <w:pPr>
              <w:spacing w:after="120"/>
              <w:ind w:left="284"/>
              <w:rPr>
                <w:rFonts w:eastAsia="Arial Unicode MS"/>
              </w:rPr>
            </w:pPr>
            <w:r w:rsidRPr="00E934FA">
              <w:rPr>
                <w:rFonts w:eastAsia="Arial Unicode MS"/>
              </w:rPr>
              <w:t>Die typischen Merkmale der Anlagestiftung lassen sich kurz wie folgt zusammenfassen:</w:t>
            </w:r>
            <w:bookmarkEnd w:id="1"/>
            <w:r w:rsidR="00205683" w:rsidRPr="00E934FA">
              <w:rPr>
                <w:rStyle w:val="Funotenzeichen"/>
                <w:rFonts w:eastAsia="Arial Unicode MS"/>
              </w:rPr>
              <w:t xml:space="preserve"> </w:t>
            </w:r>
          </w:p>
          <w:p w:rsidR="00E95EE2" w:rsidRPr="00E934FA" w:rsidRDefault="003D1FD0" w:rsidP="00E95EE2">
            <w:pPr>
              <w:pStyle w:val="Listenabsatz"/>
              <w:numPr>
                <w:ilvl w:val="0"/>
                <w:numId w:val="24"/>
              </w:numPr>
            </w:pPr>
            <w:r w:rsidRPr="00E934FA">
              <w:rPr>
                <w:i/>
              </w:rPr>
              <w:t>Begrenzter Anlegerkreis</w:t>
            </w:r>
            <w:r w:rsidRPr="00E934FA">
              <w:t>, der sich auf Einrichtungen</w:t>
            </w:r>
            <w:r w:rsidR="002F41C8" w:rsidRPr="00E934FA">
              <w:t xml:space="preserve"> der 2. Säule und der Säule 3a beschränkt</w:t>
            </w:r>
            <w:r w:rsidRPr="00E934FA">
              <w:t>,</w:t>
            </w:r>
            <w:r w:rsidR="002F41C8" w:rsidRPr="00E934FA">
              <w:t xml:space="preserve"> mithin auf professionelle Anleger,</w:t>
            </w:r>
            <w:r w:rsidRPr="00E934FA">
              <w:t xml:space="preserve"> </w:t>
            </w:r>
            <w:r w:rsidRPr="00E934FA">
              <w:rPr>
                <w:i/>
              </w:rPr>
              <w:t>die selbst prudentiell beaufsichtigt sind.</w:t>
            </w:r>
            <w:r w:rsidR="00205683" w:rsidRPr="00E934FA">
              <w:rPr>
                <w:i/>
              </w:rPr>
              <w:t xml:space="preserve"> </w:t>
            </w:r>
          </w:p>
          <w:p w:rsidR="00E95EE2" w:rsidRPr="00E934FA" w:rsidRDefault="003D1FD0" w:rsidP="00E95EE2">
            <w:pPr>
              <w:pStyle w:val="Listenabsatz"/>
              <w:numPr>
                <w:ilvl w:val="0"/>
                <w:numId w:val="24"/>
              </w:numPr>
            </w:pPr>
            <w:r w:rsidRPr="00E934FA">
              <w:rPr>
                <w:i/>
              </w:rPr>
              <w:t>Selbsthilfegedanken</w:t>
            </w:r>
            <w:r w:rsidRPr="00E934FA">
              <w:t xml:space="preserve">: </w:t>
            </w:r>
            <w:r w:rsidRPr="00E934FA">
              <w:rPr>
                <w:rFonts w:eastAsia="Arial Unicode MS"/>
              </w:rPr>
              <w:t xml:space="preserve">Der Selbsthilfezweck kommt </w:t>
            </w:r>
            <w:r w:rsidR="002F41C8" w:rsidRPr="00E934FA">
              <w:rPr>
                <w:rFonts w:eastAsia="Arial Unicode MS"/>
              </w:rPr>
              <w:t xml:space="preserve">explizit insbesondere </w:t>
            </w:r>
            <w:r w:rsidRPr="00E934FA">
              <w:rPr>
                <w:rFonts w:eastAsia="Arial Unicode MS"/>
              </w:rPr>
              <w:t xml:space="preserve">in Art. 53g Abs. 1 BVG zum Ausdruck, wonach </w:t>
            </w:r>
            <w:r w:rsidRPr="00E934FA">
              <w:rPr>
                <w:rFonts w:eastAsia="Arial Unicode MS"/>
                <w:i/>
              </w:rPr>
              <w:t>zur gemeinsamen Anlage und Verwaltung von Vorsorgegeldern</w:t>
            </w:r>
            <w:r w:rsidRPr="00E934FA">
              <w:rPr>
                <w:rFonts w:eastAsia="Arial Unicode MS"/>
              </w:rPr>
              <w:t xml:space="preserve"> Stiftungen gegründet werden können.</w:t>
            </w:r>
            <w:r w:rsidR="00205683" w:rsidRPr="00E934FA">
              <w:rPr>
                <w:rFonts w:eastAsia="Arial Unicode MS"/>
              </w:rPr>
              <w:t xml:space="preserve"> </w:t>
            </w:r>
          </w:p>
          <w:p w:rsidR="00E95EE2" w:rsidRPr="00E934FA" w:rsidRDefault="003D1FD0" w:rsidP="00E95EE2">
            <w:pPr>
              <w:pStyle w:val="Listenabsatz"/>
              <w:numPr>
                <w:ilvl w:val="0"/>
                <w:numId w:val="24"/>
              </w:numPr>
            </w:pPr>
            <w:r w:rsidRPr="00E934FA">
              <w:rPr>
                <w:rFonts w:eastAsia="Arial Unicode MS"/>
                <w:i/>
              </w:rPr>
              <w:t>Autonomie der Anleger in den zentralen Bereichen</w:t>
            </w:r>
            <w:r w:rsidRPr="00E934FA">
              <w:rPr>
                <w:rFonts w:eastAsia="Arial Unicode MS"/>
              </w:rPr>
              <w:t xml:space="preserve"> (Ausfluss des Selbsthilfegedankens): Dies wird in Art. 53h Abs. 3 und Art. 53i Abs. 1 </w:t>
            </w:r>
            <w:r w:rsidRPr="00E934FA">
              <w:rPr>
                <w:rFonts w:eastAsia="Arial Unicode MS"/>
              </w:rPr>
              <w:lastRenderedPageBreak/>
              <w:t xml:space="preserve">BVG kodifiziert, wonach die Anlegerversammlung Bestimmungen über die Organisation, die Verwaltung und die Kontrolle sowie der Anlagen im Stammvermögen und Anlagevermögen erlässt. Dieses </w:t>
            </w:r>
            <w:r w:rsidRPr="00E934FA">
              <w:rPr>
                <w:rFonts w:eastAsia="Arial Unicode MS"/>
                <w:i/>
              </w:rPr>
              <w:t>kooperative Element</w:t>
            </w:r>
            <w:r w:rsidRPr="00E934FA">
              <w:rPr>
                <w:rFonts w:eastAsia="Arial Unicode MS"/>
              </w:rPr>
              <w:t xml:space="preserve"> ist zentral für die Anlagestiftung. </w:t>
            </w:r>
          </w:p>
          <w:p w:rsidR="001F70AF" w:rsidRPr="00E934FA" w:rsidRDefault="003D1FD0" w:rsidP="001F70AF">
            <w:pPr>
              <w:pStyle w:val="Listenabsatz"/>
              <w:numPr>
                <w:ilvl w:val="0"/>
                <w:numId w:val="24"/>
              </w:numPr>
              <w:spacing w:after="120"/>
              <w:ind w:left="1003" w:hanging="357"/>
            </w:pPr>
            <w:r w:rsidRPr="00E934FA">
              <w:rPr>
                <w:i/>
              </w:rPr>
              <w:t>Kosteneffizienz</w:t>
            </w:r>
            <w:r w:rsidRPr="00E934FA">
              <w:t xml:space="preserve"> (letztlich zugunsten der Vorsorgesparer): Erzielung von Skaleneffekten, steuerliche Begünstigung.</w:t>
            </w:r>
          </w:p>
          <w:p w:rsidR="008839E7" w:rsidRPr="00E934FA" w:rsidRDefault="008839E7" w:rsidP="00E95EE2">
            <w:pPr>
              <w:ind w:left="284"/>
            </w:pPr>
            <w:r w:rsidRPr="00E934FA">
              <w:t xml:space="preserve">Der Gesetzgeber hat mit Art. 53g–53k BVG die Anlagestiftung </w:t>
            </w:r>
            <w:r w:rsidR="00785066" w:rsidRPr="00E934FA">
              <w:t xml:space="preserve">bewusst </w:t>
            </w:r>
            <w:r w:rsidRPr="00E934FA">
              <w:t>einer Regulierung unterzogen, ohne an den soeben erwähnten Grundelementen des seit Jahrzehnte</w:t>
            </w:r>
            <w:r w:rsidR="00785066" w:rsidRPr="00E934FA">
              <w:t>n bewährten Instituts zu etwas zu ändern</w:t>
            </w:r>
            <w:r w:rsidRPr="00E934FA">
              <w:t xml:space="preserve">. Dies geht klar sowohl aus dem Wortlaut </w:t>
            </w:r>
            <w:r w:rsidR="00E95EE2" w:rsidRPr="00E934FA">
              <w:t xml:space="preserve">der Bestimmungen </w:t>
            </w:r>
            <w:r w:rsidRPr="00E934FA">
              <w:t>als auch den Materialen hervor.</w:t>
            </w:r>
          </w:p>
          <w:p w:rsidR="00D92554" w:rsidRPr="00E934FA" w:rsidRDefault="00624DDE" w:rsidP="00C270C7">
            <w:pPr>
              <w:ind w:left="284"/>
              <w:rPr>
                <w:lang w:eastAsia="de-CH"/>
              </w:rPr>
            </w:pPr>
            <w:r w:rsidRPr="00E934FA">
              <w:rPr>
                <w:lang w:eastAsia="de-CH"/>
              </w:rPr>
              <w:t>In Übereinstimmung mit der Natur der Anlagestiftung als ein dem Selbsthilfezweck dienendes</w:t>
            </w:r>
            <w:r w:rsidR="00785066" w:rsidRPr="00E934FA">
              <w:rPr>
                <w:lang w:eastAsia="de-CH"/>
              </w:rPr>
              <w:t>,</w:t>
            </w:r>
            <w:r w:rsidRPr="00E934FA">
              <w:rPr>
                <w:lang w:eastAsia="de-CH"/>
              </w:rPr>
              <w:t xml:space="preserve"> kooperativ aufge</w:t>
            </w:r>
            <w:r w:rsidR="00544877" w:rsidRPr="00E934FA">
              <w:rPr>
                <w:lang w:eastAsia="de-CH"/>
              </w:rPr>
              <w:t xml:space="preserve">bautes Institut </w:t>
            </w:r>
            <w:r w:rsidRPr="00E934FA">
              <w:rPr>
                <w:lang w:eastAsia="de-CH"/>
              </w:rPr>
              <w:t xml:space="preserve">bestimmt Art. 53i Abs. 1 BVG, dass die </w:t>
            </w:r>
            <w:r w:rsidRPr="00E934FA">
              <w:rPr>
                <w:i/>
                <w:lang w:eastAsia="de-CH"/>
              </w:rPr>
              <w:t>Anlegerversammlung kompetent ist</w:t>
            </w:r>
            <w:r w:rsidRPr="00E934FA">
              <w:rPr>
                <w:lang w:eastAsia="de-CH"/>
              </w:rPr>
              <w:t xml:space="preserve">, Bestimmungen über die Anlagen im Anlage- und Stammvermögen der Anlagestiftung zu erlassen und zudem Organisation, Verwaltung und Kontrolle festzulegen. Der Gesetzgeber hat der Anlagestiftung in den soeben genannten Bereichen ein weitgehendes Selbstbestimmungsrecht eingeräumt. </w:t>
            </w:r>
            <w:r w:rsidR="00105380" w:rsidRPr="00E934FA">
              <w:rPr>
                <w:lang w:eastAsia="de-CH"/>
              </w:rPr>
              <w:t xml:space="preserve"> </w:t>
            </w:r>
            <w:r w:rsidRPr="00E934FA">
              <w:rPr>
                <w:lang w:eastAsia="de-CH"/>
              </w:rPr>
              <w:t xml:space="preserve">Die ASV müsste diese Regelung und den vom Gesetz eingeräumten Kompetenzbereich der Anlegerversammlung respektieren und dürfte lediglich Bestimmungen beinhalten, welche diese gesetzliche Ordnung </w:t>
            </w:r>
            <w:r w:rsidRPr="00E934FA">
              <w:rPr>
                <w:i/>
                <w:lang w:eastAsia="de-CH"/>
              </w:rPr>
              <w:t>ausführen</w:t>
            </w:r>
            <w:r w:rsidRPr="00E934FA">
              <w:rPr>
                <w:lang w:eastAsia="de-CH"/>
              </w:rPr>
              <w:t xml:space="preserve">. Stattdessen </w:t>
            </w:r>
            <w:r w:rsidR="00105380" w:rsidRPr="00E934FA">
              <w:rPr>
                <w:lang w:eastAsia="de-CH"/>
              </w:rPr>
              <w:t xml:space="preserve">enthält </w:t>
            </w:r>
            <w:r w:rsidR="00785066" w:rsidRPr="00E934FA">
              <w:rPr>
                <w:lang w:eastAsia="de-CH"/>
              </w:rPr>
              <w:t xml:space="preserve">die </w:t>
            </w:r>
            <w:r w:rsidRPr="00E934FA">
              <w:rPr>
                <w:lang w:eastAsia="de-CH"/>
              </w:rPr>
              <w:t xml:space="preserve">ASV einzelne Regelungen, welche die Anleger – allesamt institutionelle </w:t>
            </w:r>
            <w:r w:rsidR="00105380" w:rsidRPr="00E934FA">
              <w:rPr>
                <w:lang w:eastAsia="de-CH"/>
              </w:rPr>
              <w:t xml:space="preserve">und gleichzeitig beaufsichtigte Anleger </w:t>
            </w:r>
            <w:r w:rsidR="00785066" w:rsidRPr="00E934FA">
              <w:rPr>
                <w:lang w:eastAsia="de-CH"/>
              </w:rPr>
              <w:t>– bevormunden und über</w:t>
            </w:r>
            <w:r w:rsidRPr="00E934FA">
              <w:rPr>
                <w:lang w:eastAsia="de-CH"/>
              </w:rPr>
              <w:t xml:space="preserve"> </w:t>
            </w:r>
            <w:r w:rsidR="00785066" w:rsidRPr="00E934FA">
              <w:rPr>
                <w:lang w:eastAsia="de-CH"/>
              </w:rPr>
              <w:t>den</w:t>
            </w:r>
            <w:r w:rsidR="00C70967" w:rsidRPr="00E934FA">
              <w:rPr>
                <w:lang w:eastAsia="de-CH"/>
              </w:rPr>
              <w:t xml:space="preserve"> von</w:t>
            </w:r>
            <w:r w:rsidR="00105380" w:rsidRPr="00E934FA">
              <w:rPr>
                <w:lang w:eastAsia="de-CH"/>
              </w:rPr>
              <w:t xml:space="preserve"> Art. 53g ff. </w:t>
            </w:r>
            <w:r w:rsidRPr="00E934FA">
              <w:rPr>
                <w:lang w:eastAsia="de-CH"/>
              </w:rPr>
              <w:t xml:space="preserve">BVG </w:t>
            </w:r>
            <w:r w:rsidR="00C70967" w:rsidRPr="00E934FA">
              <w:rPr>
                <w:lang w:eastAsia="de-CH"/>
              </w:rPr>
              <w:t>gelegten Rechtsrahmen</w:t>
            </w:r>
            <w:r w:rsidR="00785066" w:rsidRPr="00E934FA">
              <w:rPr>
                <w:lang w:eastAsia="de-CH"/>
              </w:rPr>
              <w:t xml:space="preserve"> hinausgehen</w:t>
            </w:r>
            <w:r w:rsidR="0058392D" w:rsidRPr="00E934FA">
              <w:rPr>
                <w:lang w:eastAsia="de-CH"/>
              </w:rPr>
              <w:t>, weshalb sie das verfassungsmässige Legalitätsprinzip verletzen</w:t>
            </w:r>
            <w:r w:rsidRPr="00E934FA">
              <w:rPr>
                <w:lang w:eastAsia="de-CH"/>
              </w:rPr>
              <w:t>.</w:t>
            </w:r>
          </w:p>
          <w:p w:rsidR="00377014" w:rsidRPr="00E934FA" w:rsidRDefault="008842D4" w:rsidP="00DC4464">
            <w:pPr>
              <w:ind w:left="284"/>
              <w:rPr>
                <w:lang w:eastAsia="de-CH"/>
              </w:rPr>
            </w:pPr>
            <w:r w:rsidRPr="00E934FA">
              <w:rPr>
                <w:lang w:eastAsia="de-CH"/>
              </w:rPr>
              <w:t xml:space="preserve">Zahlreiche Vorschriften der ASV – wie bspw. die Verbote bei den </w:t>
            </w:r>
            <w:r w:rsidR="00BA617A" w:rsidRPr="00E934FA">
              <w:rPr>
                <w:lang w:eastAsia="de-CH"/>
              </w:rPr>
              <w:t>Tochtergesellschaften/</w:t>
            </w:r>
            <w:r w:rsidRPr="00E934FA">
              <w:rPr>
                <w:lang w:eastAsia="de-CH"/>
              </w:rPr>
              <w:t>Beteiligungen im Stammvermögen</w:t>
            </w:r>
            <w:r w:rsidR="00B25461" w:rsidRPr="00E934FA">
              <w:rPr>
                <w:lang w:eastAsia="de-CH"/>
              </w:rPr>
              <w:t xml:space="preserve"> – bedeuten gravierende Eingriffe in die Rechtsstellung und Organisation der Anlagestiftungen, entbehren aber einer genügenden Begr</w:t>
            </w:r>
            <w:r w:rsidR="00DC4464" w:rsidRPr="00E934FA">
              <w:rPr>
                <w:lang w:eastAsia="de-CH"/>
              </w:rPr>
              <w:t>ündung. Sie verstossen gegen die</w:t>
            </w:r>
            <w:r w:rsidR="00B25461" w:rsidRPr="00E934FA">
              <w:rPr>
                <w:lang w:eastAsia="de-CH"/>
              </w:rPr>
              <w:t xml:space="preserve"> verfassungsmässige</w:t>
            </w:r>
            <w:r w:rsidR="00DC4464" w:rsidRPr="00E934FA">
              <w:rPr>
                <w:lang w:eastAsia="de-CH"/>
              </w:rPr>
              <w:t>n</w:t>
            </w:r>
            <w:r w:rsidR="00B25461" w:rsidRPr="00E934FA">
              <w:rPr>
                <w:lang w:eastAsia="de-CH"/>
              </w:rPr>
              <w:t xml:space="preserve"> Prinzip</w:t>
            </w:r>
            <w:r w:rsidR="00DC4464" w:rsidRPr="00E934FA">
              <w:rPr>
                <w:lang w:eastAsia="de-CH"/>
              </w:rPr>
              <w:t>ien</w:t>
            </w:r>
            <w:r w:rsidR="00B25461" w:rsidRPr="00E934FA">
              <w:rPr>
                <w:lang w:eastAsia="de-CH"/>
              </w:rPr>
              <w:t xml:space="preserve"> der Verhältnismässigkeit </w:t>
            </w:r>
            <w:r w:rsidR="00DC4464" w:rsidRPr="00E934FA">
              <w:rPr>
                <w:lang w:eastAsia="de-CH"/>
              </w:rPr>
              <w:t xml:space="preserve">und Gleichbehandlung </w:t>
            </w:r>
            <w:r w:rsidR="00B25461" w:rsidRPr="00E934FA">
              <w:rPr>
                <w:lang w:eastAsia="de-CH"/>
              </w:rPr>
              <w:t xml:space="preserve">sowie gegen die </w:t>
            </w:r>
            <w:r w:rsidR="00926C72" w:rsidRPr="00E934FA">
              <w:rPr>
                <w:lang w:eastAsia="de-CH"/>
              </w:rPr>
              <w:t>verfassungsmässig garantierte</w:t>
            </w:r>
            <w:r w:rsidR="00DC4464" w:rsidRPr="00E934FA">
              <w:rPr>
                <w:lang w:eastAsia="de-CH"/>
              </w:rPr>
              <w:t>n</w:t>
            </w:r>
            <w:r w:rsidR="00926C72" w:rsidRPr="00E934FA">
              <w:rPr>
                <w:lang w:eastAsia="de-CH"/>
              </w:rPr>
              <w:t xml:space="preserve"> </w:t>
            </w:r>
            <w:r w:rsidR="00E705B8" w:rsidRPr="00E934FA">
              <w:rPr>
                <w:lang w:eastAsia="de-CH"/>
              </w:rPr>
              <w:t xml:space="preserve">Rechte der </w:t>
            </w:r>
            <w:r w:rsidR="00B25461" w:rsidRPr="00E934FA">
              <w:rPr>
                <w:lang w:eastAsia="de-CH"/>
              </w:rPr>
              <w:t>Eigentums</w:t>
            </w:r>
            <w:r w:rsidR="00E705B8" w:rsidRPr="00E934FA">
              <w:rPr>
                <w:lang w:eastAsia="de-CH"/>
              </w:rPr>
              <w:t>garantie</w:t>
            </w:r>
            <w:r w:rsidR="00B25461" w:rsidRPr="00E934FA">
              <w:rPr>
                <w:lang w:eastAsia="de-CH"/>
              </w:rPr>
              <w:t xml:space="preserve"> und Wirtschaftsfreiheit.</w:t>
            </w:r>
          </w:p>
          <w:p w:rsidR="007A5DD3" w:rsidRPr="00E934FA" w:rsidRDefault="007A5DD3" w:rsidP="001252B1">
            <w:pPr>
              <w:rPr>
                <w:b/>
                <w:lang w:eastAsia="de-CH"/>
              </w:rPr>
            </w:pPr>
            <w:r w:rsidRPr="00E934FA">
              <w:rPr>
                <w:b/>
                <w:lang w:eastAsia="de-CH"/>
              </w:rPr>
              <w:t>…</w:t>
            </w:r>
            <w:r w:rsidR="00C270C7" w:rsidRPr="00E934FA">
              <w:rPr>
                <w:b/>
                <w:lang w:eastAsia="de-CH"/>
              </w:rPr>
              <w:t xml:space="preserve"> </w:t>
            </w:r>
            <w:r w:rsidRPr="00E934FA">
              <w:rPr>
                <w:b/>
                <w:lang w:eastAsia="de-CH"/>
              </w:rPr>
              <w:t xml:space="preserve">die Anlagestiftungen gegenüber </w:t>
            </w:r>
            <w:r w:rsidR="008842D4" w:rsidRPr="00E934FA">
              <w:rPr>
                <w:b/>
                <w:lang w:eastAsia="de-CH"/>
              </w:rPr>
              <w:t>den Vorsorgeeinrichtungen benachteiligen</w:t>
            </w:r>
            <w:r w:rsidRPr="00E934FA">
              <w:rPr>
                <w:b/>
                <w:lang w:eastAsia="de-CH"/>
              </w:rPr>
              <w:t xml:space="preserve"> </w:t>
            </w:r>
          </w:p>
          <w:p w:rsidR="007E1565" w:rsidRPr="00E934FA" w:rsidRDefault="008842D4" w:rsidP="00CF4A28">
            <w:pPr>
              <w:ind w:left="284"/>
              <w:rPr>
                <w:b/>
                <w:lang w:eastAsia="de-CH"/>
              </w:rPr>
            </w:pPr>
            <w:r w:rsidRPr="00E934FA">
              <w:rPr>
                <w:lang w:eastAsia="de-CH"/>
              </w:rPr>
              <w:t>Die Tatsache, dass Anlagestiftungen strikteren Regeln unterstellt werden als ihre eigenen Anleger</w:t>
            </w:r>
            <w:r w:rsidR="003F6BC3" w:rsidRPr="00E934FA">
              <w:rPr>
                <w:lang w:eastAsia="de-CH"/>
              </w:rPr>
              <w:t xml:space="preserve"> (Vorsorgeeinrichtungen)</w:t>
            </w:r>
            <w:r w:rsidRPr="00E934FA">
              <w:rPr>
                <w:lang w:eastAsia="de-CH"/>
              </w:rPr>
              <w:t>, ist grotesk</w:t>
            </w:r>
            <w:r w:rsidR="003F6BC3" w:rsidRPr="00E934FA">
              <w:rPr>
                <w:lang w:eastAsia="de-CH"/>
              </w:rPr>
              <w:t xml:space="preserve"> </w:t>
            </w:r>
            <w:r w:rsidR="00062A5D" w:rsidRPr="00E934FA">
              <w:rPr>
                <w:lang w:eastAsia="de-CH"/>
              </w:rPr>
              <w:t>und steht der Natur der Anlagestiftung als Selbsthilfeinstitut diametral entgegen – in der Sprache der Verfassung</w:t>
            </w:r>
            <w:r w:rsidR="00285200" w:rsidRPr="00E934FA">
              <w:rPr>
                <w:lang w:eastAsia="de-CH"/>
              </w:rPr>
              <w:t xml:space="preserve"> sind die Regeln</w:t>
            </w:r>
            <w:r w:rsidR="00062A5D" w:rsidRPr="00E934FA">
              <w:rPr>
                <w:lang w:eastAsia="de-CH"/>
              </w:rPr>
              <w:t xml:space="preserve"> </w:t>
            </w:r>
            <w:r w:rsidR="003F6BC3" w:rsidRPr="00E934FA">
              <w:rPr>
                <w:lang w:eastAsia="de-CH"/>
              </w:rPr>
              <w:t>unverhältnismässig und diskriminierend</w:t>
            </w:r>
            <w:r w:rsidRPr="00E934FA">
              <w:rPr>
                <w:lang w:eastAsia="de-CH"/>
              </w:rPr>
              <w:t>.</w:t>
            </w:r>
            <w:r w:rsidR="00062A5D" w:rsidRPr="00E934FA">
              <w:rPr>
                <w:lang w:eastAsia="de-CH"/>
              </w:rPr>
              <w:t xml:space="preserve"> </w:t>
            </w:r>
          </w:p>
          <w:p w:rsidR="0060670F" w:rsidRPr="00E934FA" w:rsidRDefault="0060670F" w:rsidP="0060670F">
            <w:pPr>
              <w:rPr>
                <w:b/>
                <w:lang w:eastAsia="de-CH"/>
              </w:rPr>
            </w:pPr>
            <w:r w:rsidRPr="00E934FA">
              <w:rPr>
                <w:b/>
                <w:lang w:eastAsia="de-CH"/>
              </w:rPr>
              <w:t xml:space="preserve">… </w:t>
            </w:r>
            <w:r w:rsidR="00930CBB" w:rsidRPr="00E934FA">
              <w:rPr>
                <w:b/>
                <w:lang w:eastAsia="de-CH"/>
              </w:rPr>
              <w:t>eine für den Vorsorgesparer nachteilige Überregulierung darstellen</w:t>
            </w:r>
          </w:p>
          <w:p w:rsidR="00A74BB2" w:rsidRPr="00E934FA" w:rsidRDefault="001F5331" w:rsidP="00DC4464">
            <w:pPr>
              <w:ind w:left="284"/>
              <w:rPr>
                <w:b/>
              </w:rPr>
            </w:pPr>
            <w:r w:rsidRPr="00E934FA">
              <w:t>Leidtrage</w:t>
            </w:r>
            <w:r w:rsidR="00533C4E" w:rsidRPr="00E934FA">
              <w:t>nde</w:t>
            </w:r>
            <w:r w:rsidR="005811A9" w:rsidRPr="00E934FA">
              <w:t xml:space="preserve"> der Überregulierung </w:t>
            </w:r>
            <w:r w:rsidR="00533C4E" w:rsidRPr="00E934FA">
              <w:t>bzw. der fehlerhaften Regulierung sind letztlich die Vorsorgesparer, der</w:t>
            </w:r>
            <w:r w:rsidR="005811A9" w:rsidRPr="00E934FA">
              <w:t>en Vorsorgewerk</w:t>
            </w:r>
            <w:r w:rsidR="00533C4E" w:rsidRPr="00E934FA">
              <w:t>e</w:t>
            </w:r>
            <w:r w:rsidR="005811A9" w:rsidRPr="00E934FA">
              <w:t xml:space="preserve"> die kostengünstige und professionelle Anlage mittels einer Anlagestiftung</w:t>
            </w:r>
            <w:r w:rsidR="00EB5647" w:rsidRPr="00E934FA">
              <w:t xml:space="preserve"> erschwert wird oder gar verschlossen bleibt</w:t>
            </w:r>
            <w:r w:rsidR="005811A9" w:rsidRPr="00E934FA">
              <w:t>.</w:t>
            </w:r>
            <w:r w:rsidR="00DC4464" w:rsidRPr="00E934FA">
              <w:rPr>
                <w:b/>
              </w:rPr>
              <w:t xml:space="preserve"> </w:t>
            </w:r>
          </w:p>
        </w:tc>
      </w:tr>
    </w:tbl>
    <w:p w:rsidR="00A74BB2" w:rsidRPr="00E934FA" w:rsidRDefault="00A74BB2" w:rsidP="00A74BB2">
      <w:pPr>
        <w:pStyle w:val="ZAnhang3"/>
      </w:pPr>
      <w:r w:rsidRPr="00E934FA">
        <w:lastRenderedPageBreak/>
        <w:t>Revisionsvorschlag</w:t>
      </w:r>
    </w:p>
    <w:tbl>
      <w:tblPr>
        <w:tblStyle w:val="Tabellenraster"/>
        <w:tblW w:w="0" w:type="auto"/>
        <w:tblLook w:val="04A0" w:firstRow="1" w:lastRow="0" w:firstColumn="1" w:lastColumn="0" w:noHBand="0" w:noVBand="1"/>
      </w:tblPr>
      <w:tblGrid>
        <w:gridCol w:w="4270"/>
        <w:gridCol w:w="4303"/>
        <w:gridCol w:w="5079"/>
      </w:tblGrid>
      <w:tr w:rsidR="005C7625" w:rsidRPr="00E934FA" w:rsidTr="00E432EB">
        <w:trPr>
          <w:tblHeader/>
        </w:trPr>
        <w:tc>
          <w:tcPr>
            <w:tcW w:w="4270" w:type="dxa"/>
            <w:tcBorders>
              <w:top w:val="single" w:sz="4" w:space="0" w:color="auto"/>
            </w:tcBorders>
            <w:shd w:val="clear" w:color="auto" w:fill="D9D9D9" w:themeFill="background1" w:themeFillShade="D9"/>
            <w:vAlign w:val="center"/>
          </w:tcPr>
          <w:p w:rsidR="005C7625" w:rsidRPr="00E934FA" w:rsidRDefault="00B54775" w:rsidP="001C0456">
            <w:pPr>
              <w:spacing w:before="180" w:after="180"/>
              <w:jc w:val="center"/>
              <w:rPr>
                <w:b/>
              </w:rPr>
            </w:pPr>
            <w:r w:rsidRPr="00E934FA">
              <w:rPr>
                <w:b/>
              </w:rPr>
              <w:t>Geltende Fassung</w:t>
            </w:r>
          </w:p>
        </w:tc>
        <w:tc>
          <w:tcPr>
            <w:tcW w:w="4303" w:type="dxa"/>
            <w:tcBorders>
              <w:top w:val="single" w:sz="4" w:space="0" w:color="auto"/>
            </w:tcBorders>
            <w:shd w:val="clear" w:color="auto" w:fill="D9D9D9" w:themeFill="background1" w:themeFillShade="D9"/>
            <w:vAlign w:val="center"/>
          </w:tcPr>
          <w:p w:rsidR="005C7625" w:rsidRPr="00E934FA" w:rsidRDefault="00B54775" w:rsidP="001C0456">
            <w:pPr>
              <w:spacing w:before="180" w:after="180"/>
              <w:jc w:val="center"/>
              <w:rPr>
                <w:b/>
              </w:rPr>
            </w:pPr>
            <w:r w:rsidRPr="00E934FA">
              <w:rPr>
                <w:b/>
              </w:rPr>
              <w:t>Revisionsvorschlag</w:t>
            </w:r>
          </w:p>
        </w:tc>
        <w:tc>
          <w:tcPr>
            <w:tcW w:w="5079" w:type="dxa"/>
            <w:tcBorders>
              <w:top w:val="single" w:sz="4" w:space="0" w:color="auto"/>
            </w:tcBorders>
            <w:shd w:val="clear" w:color="auto" w:fill="D9D9D9" w:themeFill="background1" w:themeFillShade="D9"/>
            <w:vAlign w:val="center"/>
          </w:tcPr>
          <w:p w:rsidR="005C7625" w:rsidRPr="00E934FA" w:rsidRDefault="00EA1A55" w:rsidP="001C0456">
            <w:pPr>
              <w:spacing w:before="180" w:after="180"/>
              <w:jc w:val="center"/>
              <w:rPr>
                <w:b/>
              </w:rPr>
            </w:pPr>
            <w:r w:rsidRPr="00E934FA">
              <w:rPr>
                <w:b/>
              </w:rPr>
              <w:t>Kommentar</w:t>
            </w:r>
          </w:p>
        </w:tc>
      </w:tr>
      <w:tr w:rsidR="0019759C" w:rsidRPr="00E934FA" w:rsidTr="00C80567">
        <w:tc>
          <w:tcPr>
            <w:tcW w:w="4270" w:type="dxa"/>
          </w:tcPr>
          <w:p w:rsidR="0019759C" w:rsidRPr="00E934FA" w:rsidRDefault="0019759C" w:rsidP="0019759C">
            <w:pPr>
              <w:pStyle w:val="ListeLemma1"/>
              <w:numPr>
                <w:ilvl w:val="0"/>
                <w:numId w:val="0"/>
              </w:numPr>
              <w:spacing w:after="120"/>
              <w:ind w:left="12"/>
              <w:rPr>
                <w:b/>
              </w:rPr>
            </w:pPr>
            <w:r w:rsidRPr="00E934FA">
              <w:rPr>
                <w:b/>
              </w:rPr>
              <w:t>1.–8. Abschnitt</w:t>
            </w:r>
          </w:p>
        </w:tc>
        <w:tc>
          <w:tcPr>
            <w:tcW w:w="4303" w:type="dxa"/>
          </w:tcPr>
          <w:p w:rsidR="0019759C" w:rsidRPr="00E934FA" w:rsidRDefault="0019759C" w:rsidP="0019759C">
            <w:pPr>
              <w:pStyle w:val="ListeLemma1"/>
              <w:numPr>
                <w:ilvl w:val="0"/>
                <w:numId w:val="0"/>
              </w:numPr>
              <w:spacing w:after="120"/>
              <w:ind w:left="12"/>
              <w:rPr>
                <w:i/>
              </w:rPr>
            </w:pPr>
            <w:r w:rsidRPr="00E934FA">
              <w:rPr>
                <w:i/>
              </w:rPr>
              <w:t>[Keine Änderungen]</w:t>
            </w:r>
          </w:p>
        </w:tc>
        <w:tc>
          <w:tcPr>
            <w:tcW w:w="5079" w:type="dxa"/>
          </w:tcPr>
          <w:p w:rsidR="0019759C" w:rsidRPr="00E934FA" w:rsidRDefault="0019759C" w:rsidP="0019759C">
            <w:pPr>
              <w:pStyle w:val="ListeLemma1"/>
              <w:numPr>
                <w:ilvl w:val="0"/>
                <w:numId w:val="0"/>
              </w:numPr>
              <w:spacing w:after="120"/>
              <w:ind w:left="12"/>
              <w:rPr>
                <w:b/>
              </w:rPr>
            </w:pPr>
          </w:p>
        </w:tc>
      </w:tr>
      <w:tr w:rsidR="00C3080B" w:rsidRPr="00E934FA" w:rsidTr="00E432EB">
        <w:tc>
          <w:tcPr>
            <w:tcW w:w="13652" w:type="dxa"/>
            <w:gridSpan w:val="3"/>
          </w:tcPr>
          <w:p w:rsidR="00C3080B" w:rsidRPr="00E934FA" w:rsidRDefault="00C3080B" w:rsidP="00B30C59">
            <w:pPr>
              <w:pStyle w:val="ListeLemma1"/>
              <w:numPr>
                <w:ilvl w:val="0"/>
                <w:numId w:val="0"/>
              </w:numPr>
              <w:spacing w:after="120"/>
              <w:ind w:left="12"/>
              <w:rPr>
                <w:lang w:eastAsia="de-CH"/>
              </w:rPr>
            </w:pPr>
            <w:r w:rsidRPr="00E934FA">
              <w:rPr>
                <w:b/>
              </w:rPr>
              <w:t>9. Abschnitt: Stammvermögen</w:t>
            </w:r>
          </w:p>
        </w:tc>
      </w:tr>
      <w:tr w:rsidR="00AC6C0B" w:rsidRPr="00E934FA" w:rsidTr="00E432EB">
        <w:tc>
          <w:tcPr>
            <w:tcW w:w="4270" w:type="dxa"/>
          </w:tcPr>
          <w:p w:rsidR="00AC6C0B" w:rsidRPr="00E934FA" w:rsidRDefault="00AC6C0B" w:rsidP="00DC0256">
            <w:pPr>
              <w:pStyle w:val="ListeLemma1"/>
              <w:numPr>
                <w:ilvl w:val="0"/>
                <w:numId w:val="0"/>
              </w:numPr>
              <w:spacing w:after="120"/>
              <w:ind w:left="12"/>
              <w:rPr>
                <w:b/>
              </w:rPr>
            </w:pPr>
            <w:r w:rsidRPr="00E934FA">
              <w:rPr>
                <w:b/>
              </w:rPr>
              <w:t xml:space="preserve">Art. 22 </w:t>
            </w:r>
            <w:r w:rsidR="00E64D7A" w:rsidRPr="00E934FA">
              <w:rPr>
                <w:b/>
              </w:rPr>
              <w:t xml:space="preserve">und </w:t>
            </w:r>
            <w:r w:rsidR="003D4599" w:rsidRPr="00E934FA">
              <w:rPr>
                <w:b/>
              </w:rPr>
              <w:t>23</w:t>
            </w:r>
          </w:p>
        </w:tc>
        <w:tc>
          <w:tcPr>
            <w:tcW w:w="4303" w:type="dxa"/>
          </w:tcPr>
          <w:p w:rsidR="00AC6C0B" w:rsidRPr="00E934FA" w:rsidRDefault="00AC6C0B" w:rsidP="00DC0256">
            <w:pPr>
              <w:pStyle w:val="ListeLemma1"/>
              <w:numPr>
                <w:ilvl w:val="0"/>
                <w:numId w:val="0"/>
              </w:numPr>
              <w:spacing w:after="120"/>
              <w:ind w:left="12"/>
              <w:rPr>
                <w:i/>
              </w:rPr>
            </w:pPr>
            <w:r w:rsidRPr="00E934FA">
              <w:rPr>
                <w:i/>
              </w:rPr>
              <w:t>[Keine Änderungen]</w:t>
            </w:r>
          </w:p>
        </w:tc>
        <w:tc>
          <w:tcPr>
            <w:tcW w:w="5079" w:type="dxa"/>
          </w:tcPr>
          <w:p w:rsidR="00AC6C0B" w:rsidRPr="00E934FA" w:rsidRDefault="00AC6C0B" w:rsidP="00B30C59">
            <w:pPr>
              <w:pStyle w:val="ListeLemma1"/>
              <w:numPr>
                <w:ilvl w:val="0"/>
                <w:numId w:val="0"/>
              </w:numPr>
              <w:spacing w:after="120"/>
              <w:ind w:left="12"/>
              <w:rPr>
                <w:b/>
              </w:rPr>
            </w:pPr>
          </w:p>
        </w:tc>
      </w:tr>
      <w:tr w:rsidR="00860C2D" w:rsidRPr="00E934FA" w:rsidTr="00E432EB">
        <w:tc>
          <w:tcPr>
            <w:tcW w:w="4270" w:type="dxa"/>
          </w:tcPr>
          <w:p w:rsidR="00860C2D" w:rsidRPr="00E934FA" w:rsidRDefault="00860C2D" w:rsidP="00D360E4">
            <w:pPr>
              <w:ind w:left="851" w:hanging="851"/>
            </w:pPr>
            <w:r w:rsidRPr="00E934FA">
              <w:rPr>
                <w:b/>
              </w:rPr>
              <w:t xml:space="preserve">Art. 24 </w:t>
            </w:r>
            <w:r w:rsidR="00D360E4" w:rsidRPr="00E934FA">
              <w:rPr>
                <w:b/>
              </w:rPr>
              <w:tab/>
            </w:r>
            <w:r w:rsidRPr="00E934FA">
              <w:t>Tochtergesellschaften im Stammvermögen</w:t>
            </w:r>
          </w:p>
          <w:p w:rsidR="00860C2D" w:rsidRPr="00E934FA" w:rsidRDefault="00860C2D" w:rsidP="00860C2D">
            <w:r w:rsidRPr="00E934FA">
              <w:rPr>
                <w:vertAlign w:val="superscript"/>
              </w:rPr>
              <w:t>1</w:t>
            </w:r>
            <w:r w:rsidRPr="00E934FA">
              <w:t xml:space="preserve"> Tochtergesellschaften im Stammvermögen sind Unternehmen, welche die Stiftung durch Alleineigentum beherrscht.</w:t>
            </w:r>
          </w:p>
          <w:p w:rsidR="00860C2D" w:rsidRPr="00E934FA" w:rsidRDefault="00860C2D" w:rsidP="00860C2D">
            <w:r w:rsidRPr="00E934FA">
              <w:rPr>
                <w:vertAlign w:val="superscript"/>
              </w:rPr>
              <w:t>2</w:t>
            </w:r>
            <w:r w:rsidRPr="00E934FA">
              <w:t xml:space="preserve"> Eine Tochtergesellschaft im Stammvermögen muss folgende Bedingungen erfüllen:</w:t>
            </w:r>
          </w:p>
          <w:p w:rsidR="00860C2D" w:rsidRPr="00E934FA" w:rsidRDefault="00860C2D" w:rsidP="005238C3">
            <w:pPr>
              <w:pStyle w:val="Listenabsatz"/>
              <w:numPr>
                <w:ilvl w:val="0"/>
                <w:numId w:val="14"/>
              </w:numPr>
              <w:ind w:left="284" w:hanging="284"/>
            </w:pPr>
            <w:r w:rsidRPr="00E934FA">
              <w:t>Sie ist eine Aktiengesellschaft mit Sitz in der Schweiz; das schweizerische Domizil kann nur im überwiegenden Interesse der Anleger entfallen.</w:t>
            </w:r>
          </w:p>
          <w:p w:rsidR="00860C2D" w:rsidRPr="00E934FA" w:rsidRDefault="00860C2D" w:rsidP="005238C3">
            <w:pPr>
              <w:pStyle w:val="Listenabsatz"/>
              <w:numPr>
                <w:ilvl w:val="0"/>
                <w:numId w:val="14"/>
              </w:numPr>
              <w:ind w:left="284" w:hanging="284"/>
            </w:pPr>
            <w:r w:rsidRPr="00E934FA">
              <w:t>Der Erwerb oder die Gründung der Gesellschaft bedarf der Zustimmung der Anlegerversammlung der Stiftung.</w:t>
            </w:r>
          </w:p>
          <w:p w:rsidR="00860C2D" w:rsidRPr="00E934FA" w:rsidRDefault="00860C2D" w:rsidP="005238C3">
            <w:pPr>
              <w:pStyle w:val="Listenabsatz"/>
              <w:numPr>
                <w:ilvl w:val="0"/>
                <w:numId w:val="14"/>
              </w:numPr>
              <w:ind w:left="284" w:hanging="284"/>
            </w:pPr>
            <w:r w:rsidRPr="00E934FA">
              <w:t>Der Umsatz der Tochtergesellschaft entfällt zu mindestens zwei Dritteln auf die Bewirtschaftung und Verwaltung des Stiftungsvermögens.</w:t>
            </w:r>
          </w:p>
          <w:p w:rsidR="00860C2D" w:rsidRPr="00E934FA" w:rsidRDefault="00860C2D" w:rsidP="005238C3">
            <w:pPr>
              <w:pStyle w:val="Listenabsatz"/>
              <w:numPr>
                <w:ilvl w:val="0"/>
                <w:numId w:val="14"/>
              </w:numPr>
              <w:ind w:left="284" w:hanging="284"/>
            </w:pPr>
            <w:r w:rsidRPr="00E934FA">
              <w:t>Zwischen der Stiftung und der Tochtergesellschaft besteht ein schriftlicher Vertrag im Sinne von Artikel 7.</w:t>
            </w:r>
          </w:p>
          <w:p w:rsidR="00860C2D" w:rsidRPr="00E934FA" w:rsidRDefault="00860C2D" w:rsidP="005238C3">
            <w:pPr>
              <w:pStyle w:val="Listenabsatz"/>
              <w:numPr>
                <w:ilvl w:val="0"/>
                <w:numId w:val="14"/>
              </w:numPr>
              <w:ind w:left="284" w:hanging="284"/>
            </w:pPr>
            <w:r w:rsidRPr="00E934FA">
              <w:t>Der Stiftungsrat sorgt dafür, dass die Geschäftsführung der Tochtergesellschaft</w:t>
            </w:r>
            <w:r w:rsidR="00B74DAD" w:rsidRPr="00E934FA">
              <w:t xml:space="preserve"> </w:t>
            </w:r>
            <w:r w:rsidRPr="00E934FA">
              <w:t>ausreichend kontrolliert wird.</w:t>
            </w:r>
          </w:p>
          <w:p w:rsidR="00860C2D" w:rsidRPr="00E934FA" w:rsidRDefault="00860C2D" w:rsidP="005238C3">
            <w:pPr>
              <w:pStyle w:val="Listenabsatz"/>
              <w:numPr>
                <w:ilvl w:val="0"/>
                <w:numId w:val="14"/>
              </w:numPr>
              <w:ind w:left="284" w:hanging="284"/>
            </w:pPr>
            <w:r w:rsidRPr="00E934FA">
              <w:t>Die Tochtergesellschaft selbst hält keine Beteiligungen.</w:t>
            </w:r>
          </w:p>
          <w:p w:rsidR="00860C2D" w:rsidRPr="00E934FA" w:rsidRDefault="00860C2D" w:rsidP="00860C2D">
            <w:pPr>
              <w:pStyle w:val="Listenabsatz"/>
              <w:numPr>
                <w:ilvl w:val="0"/>
                <w:numId w:val="14"/>
              </w:numPr>
              <w:ind w:left="284" w:hanging="284"/>
            </w:pPr>
            <w:r w:rsidRPr="00E934FA">
              <w:t>Die Tochtergesellschaft beschränkt ihre Tätigkeit auf die Verwaltung von Vorsorgegeldern.</w:t>
            </w:r>
          </w:p>
          <w:p w:rsidR="00860C2D" w:rsidRPr="00E934FA" w:rsidRDefault="00860C2D" w:rsidP="00860C2D">
            <w:pPr>
              <w:pStyle w:val="Listenabsatz"/>
              <w:ind w:left="1069"/>
            </w:pPr>
          </w:p>
          <w:p w:rsidR="00860C2D" w:rsidRPr="00E934FA" w:rsidRDefault="00860C2D" w:rsidP="00860C2D">
            <w:r w:rsidRPr="00E934FA">
              <w:rPr>
                <w:vertAlign w:val="superscript"/>
              </w:rPr>
              <w:t>3</w:t>
            </w:r>
            <w:r w:rsidRPr="00E934FA">
              <w:t xml:space="preserve"> Die Stiftung sorgt dafür, dass die Aufsichtsbehörde von der Tochtergesellschaft jederzeit Auskunft oder die Herausgabe sachdienlicher Unterlagen verlangen kann.</w:t>
            </w:r>
          </w:p>
          <w:p w:rsidR="005618C7" w:rsidRPr="00E934FA" w:rsidRDefault="005618C7" w:rsidP="00860C2D"/>
        </w:tc>
        <w:tc>
          <w:tcPr>
            <w:tcW w:w="4303" w:type="dxa"/>
          </w:tcPr>
          <w:p w:rsidR="00860C2D" w:rsidRPr="00E934FA" w:rsidRDefault="000B3A33" w:rsidP="008B77BD">
            <w:pPr>
              <w:ind w:left="833" w:hanging="833"/>
            </w:pPr>
            <w:r w:rsidRPr="00E934FA">
              <w:rPr>
                <w:b/>
              </w:rPr>
              <w:t xml:space="preserve">Art. 24 </w:t>
            </w:r>
            <w:r w:rsidR="008B77BD" w:rsidRPr="00E934FA">
              <w:rPr>
                <w:b/>
              </w:rPr>
              <w:tab/>
            </w:r>
            <w:r w:rsidRPr="00E934FA">
              <w:t>Beteiligungen</w:t>
            </w:r>
            <w:r w:rsidR="00860C2D" w:rsidRPr="00E934FA">
              <w:t xml:space="preserve"> </w:t>
            </w:r>
            <w:r w:rsidR="0051213A" w:rsidRPr="00E934FA">
              <w:t xml:space="preserve">an Gesellschaften </w:t>
            </w:r>
            <w:r w:rsidR="00860C2D" w:rsidRPr="00E934FA">
              <w:t>im Stammvermögen</w:t>
            </w:r>
          </w:p>
          <w:p w:rsidR="000B3A33" w:rsidRPr="00E934FA" w:rsidRDefault="000B3A33" w:rsidP="000B3A33">
            <w:r w:rsidRPr="00E934FA">
              <w:rPr>
                <w:vertAlign w:val="superscript"/>
              </w:rPr>
              <w:t>1</w:t>
            </w:r>
            <w:r w:rsidRPr="00E934FA">
              <w:t xml:space="preserve"> Die Stiftung kann unter den folgenden Voraussetzungen </w:t>
            </w:r>
            <w:r w:rsidR="00033346" w:rsidRPr="00E934FA">
              <w:t xml:space="preserve">direkte und indirekte </w:t>
            </w:r>
            <w:r w:rsidRPr="00E934FA">
              <w:t>Beteiligungen an Gesellschaften im Stammvermögen halten:</w:t>
            </w:r>
          </w:p>
          <w:p w:rsidR="007456D0" w:rsidRPr="00E934FA" w:rsidRDefault="007456D0" w:rsidP="001109C0">
            <w:pPr>
              <w:pStyle w:val="Listenabsatz"/>
              <w:numPr>
                <w:ilvl w:val="0"/>
                <w:numId w:val="22"/>
              </w:numPr>
              <w:ind w:left="284" w:hanging="284"/>
            </w:pPr>
            <w:r w:rsidRPr="00E934FA">
              <w:t xml:space="preserve">Aufgrund der Gesellschafterstellung darf sich keine persönliche Haftung oder Nachschusspflicht </w:t>
            </w:r>
            <w:r w:rsidR="0051213A" w:rsidRPr="00E934FA">
              <w:t>für die</w:t>
            </w:r>
            <w:r w:rsidRPr="00E934FA">
              <w:t xml:space="preserve"> Stiftung ergeben</w:t>
            </w:r>
            <w:r w:rsidR="00860C2D" w:rsidRPr="00E934FA">
              <w:t xml:space="preserve">; </w:t>
            </w:r>
          </w:p>
          <w:p w:rsidR="00860C2D" w:rsidRPr="00E934FA" w:rsidRDefault="007456D0" w:rsidP="001109C0">
            <w:pPr>
              <w:pStyle w:val="Listenabsatz"/>
              <w:numPr>
                <w:ilvl w:val="0"/>
                <w:numId w:val="22"/>
              </w:numPr>
              <w:ind w:left="284" w:hanging="284"/>
            </w:pPr>
            <w:r w:rsidRPr="00E934FA">
              <w:t>Die Gesellschaft</w:t>
            </w:r>
            <w:r w:rsidR="00033346" w:rsidRPr="00E934FA">
              <w:t>, an der die Stiftung direkt oder indirekt beteiligt ist,</w:t>
            </w:r>
            <w:r w:rsidRPr="00E934FA">
              <w:t xml:space="preserve"> hat </w:t>
            </w:r>
            <w:r w:rsidR="00530161" w:rsidRPr="00E934FA">
              <w:t xml:space="preserve">ihren </w:t>
            </w:r>
            <w:r w:rsidRPr="00E934FA">
              <w:t>Sitz in der Schweiz</w:t>
            </w:r>
            <w:r w:rsidR="00F54333" w:rsidRPr="00E934FA">
              <w:t>; das schweizerische Domizil kann nur im überwiegenden Interesse der Anleger entfallen.</w:t>
            </w:r>
          </w:p>
          <w:p w:rsidR="00860C2D" w:rsidRPr="00E934FA" w:rsidRDefault="00860C2D" w:rsidP="001109C0">
            <w:pPr>
              <w:pStyle w:val="Listenabsatz"/>
              <w:numPr>
                <w:ilvl w:val="0"/>
                <w:numId w:val="22"/>
              </w:numPr>
              <w:ind w:left="284" w:hanging="284"/>
            </w:pPr>
            <w:r w:rsidRPr="00E934FA">
              <w:t>Der Erwerb</w:t>
            </w:r>
            <w:r w:rsidR="007456D0" w:rsidRPr="00E934FA">
              <w:t xml:space="preserve"> der </w:t>
            </w:r>
            <w:r w:rsidR="00033346" w:rsidRPr="00E934FA">
              <w:t xml:space="preserve">direkten oder indirekten </w:t>
            </w:r>
            <w:r w:rsidR="007456D0" w:rsidRPr="00E934FA">
              <w:t>Beteiligungen</w:t>
            </w:r>
            <w:r w:rsidRPr="00E934FA">
              <w:t xml:space="preserve"> bedarf der Zustimmung der Anlegerversammlung der Stiftung</w:t>
            </w:r>
            <w:r w:rsidR="00D705D2" w:rsidRPr="00E934FA">
              <w:t>, sofern die Statuten diese Kompetenz nicht dem Stiftungsrat übertragen haben</w:t>
            </w:r>
            <w:r w:rsidRPr="00E934FA">
              <w:t>.</w:t>
            </w:r>
          </w:p>
          <w:p w:rsidR="00860C2D" w:rsidRPr="00E934FA" w:rsidRDefault="00EC5A13" w:rsidP="001109C0">
            <w:pPr>
              <w:pStyle w:val="Listenabsatz"/>
              <w:numPr>
                <w:ilvl w:val="0"/>
                <w:numId w:val="22"/>
              </w:numPr>
              <w:ind w:left="284" w:hanging="284"/>
            </w:pPr>
            <w:r w:rsidRPr="00E934FA">
              <w:t>Die Tätigkeit der Gesellschaft</w:t>
            </w:r>
            <w:r w:rsidR="00033346" w:rsidRPr="00E934FA">
              <w:t>, an der die Stiftung direkt oder indirekt beteiligt ist,</w:t>
            </w:r>
            <w:r w:rsidRPr="00E934FA">
              <w:t xml:space="preserve"> </w:t>
            </w:r>
            <w:r w:rsidR="00617003" w:rsidRPr="00E934FA">
              <w:t>hat</w:t>
            </w:r>
            <w:r w:rsidRPr="00E934FA">
              <w:t xml:space="preserve"> ganz oder teilweise im Zusammenhang mit der Verwaltung von Vorsorgegeldern</w:t>
            </w:r>
            <w:r w:rsidR="00617003" w:rsidRPr="00E934FA">
              <w:t xml:space="preserve"> entweder der Stiftung oder von Drittinstitutionen zu stehen. Die </w:t>
            </w:r>
            <w:r w:rsidRPr="00E934FA">
              <w:t>Anlegerversammlung</w:t>
            </w:r>
            <w:r w:rsidR="00617003" w:rsidRPr="00E934FA">
              <w:t xml:space="preserve"> kann diese Einschränkung aufheben</w:t>
            </w:r>
            <w:r w:rsidR="009F72B7" w:rsidRPr="00E934FA">
              <w:t>, sofern die Statuten diesen Entscheid nicht dem Stiftungsrat zuweisen</w:t>
            </w:r>
            <w:r w:rsidRPr="00E934FA">
              <w:t>.</w:t>
            </w:r>
          </w:p>
          <w:p w:rsidR="00860C2D" w:rsidRPr="00E934FA" w:rsidRDefault="00823786" w:rsidP="001109C0">
            <w:pPr>
              <w:pStyle w:val="Listenabsatz"/>
              <w:numPr>
                <w:ilvl w:val="0"/>
                <w:numId w:val="22"/>
              </w:numPr>
              <w:ind w:left="284" w:hanging="284"/>
            </w:pPr>
            <w:r w:rsidRPr="00E934FA">
              <w:t>Bei einer Übertragung von Aufgaben  ist Artikel 7 einzuhalten.</w:t>
            </w:r>
          </w:p>
          <w:p w:rsidR="00860C2D" w:rsidRPr="00E934FA" w:rsidRDefault="00823786" w:rsidP="001109C0">
            <w:pPr>
              <w:pStyle w:val="Listenabsatz"/>
              <w:numPr>
                <w:ilvl w:val="0"/>
                <w:numId w:val="22"/>
              </w:numPr>
              <w:ind w:left="284" w:hanging="284"/>
            </w:pPr>
            <w:r w:rsidRPr="00E934FA">
              <w:t>Die Organe der Gesellschaft</w:t>
            </w:r>
            <w:r w:rsidR="00BA4A23" w:rsidRPr="00E934FA">
              <w:t>, an der die Stiftung direkt oder indirekt beteiligt ist,</w:t>
            </w:r>
            <w:r w:rsidRPr="00E934FA">
              <w:t xml:space="preserve"> haben eine Organhaftpflichtversicherung mit ausreichender Schadensdeckung abgeschlossen. Eine Deckung in der Höhe von </w:t>
            </w:r>
            <w:r w:rsidR="009B36C0" w:rsidRPr="001C0456">
              <w:t>[</w:t>
            </w:r>
            <w:r w:rsidR="00D24503" w:rsidRPr="001C0456">
              <w:t>●</w:t>
            </w:r>
            <w:r w:rsidR="009B36C0" w:rsidRPr="001C0456">
              <w:t>]</w:t>
            </w:r>
            <w:r w:rsidR="00CE6780" w:rsidRPr="001C0456">
              <w:t xml:space="preserve"> Prozent</w:t>
            </w:r>
            <w:r w:rsidR="00CE6780" w:rsidRPr="00E934FA">
              <w:t xml:space="preserve"> des</w:t>
            </w:r>
            <w:r w:rsidR="009B36C0" w:rsidRPr="00E934FA">
              <w:t xml:space="preserve"> verwalteten oder bewirtschafteten Vermögens</w:t>
            </w:r>
            <w:r w:rsidR="00CE6780" w:rsidRPr="00E934FA">
              <w:t xml:space="preserve"> pro Schadensfall gilt in jedem Fall als ausreichend.</w:t>
            </w:r>
          </w:p>
          <w:p w:rsidR="00860C2D" w:rsidRPr="00E934FA" w:rsidRDefault="00860C2D" w:rsidP="00860C2D">
            <w:pPr>
              <w:pStyle w:val="Listenabsatz"/>
              <w:ind w:left="1069"/>
            </w:pPr>
          </w:p>
          <w:p w:rsidR="00860C2D" w:rsidRPr="00E934FA" w:rsidRDefault="00D6284C" w:rsidP="00BA4A23">
            <w:r w:rsidRPr="00E934FA">
              <w:rPr>
                <w:vertAlign w:val="superscript"/>
              </w:rPr>
              <w:t>2</w:t>
            </w:r>
            <w:r w:rsidR="00860C2D" w:rsidRPr="00E934FA">
              <w:t xml:space="preserve"> Die Stiftung sorgt dafür, dass die Aufsichtsbehörde von </w:t>
            </w:r>
            <w:r w:rsidR="00033346" w:rsidRPr="00E934FA">
              <w:t>einer</w:t>
            </w:r>
            <w:r w:rsidR="00BA4A23" w:rsidRPr="00E934FA">
              <w:t xml:space="preserve"> Gesellschaft, an der die Stiftung direkt oder indirekt beteiligt ist,</w:t>
            </w:r>
            <w:r w:rsidR="00860C2D" w:rsidRPr="00E934FA">
              <w:t xml:space="preserve"> jederzeit Auskunft oder die Herausgabe sachdienlicher Unterlagen verlangen kann.</w:t>
            </w:r>
          </w:p>
        </w:tc>
        <w:tc>
          <w:tcPr>
            <w:tcW w:w="5079" w:type="dxa"/>
          </w:tcPr>
          <w:p w:rsidR="00E705B8" w:rsidRPr="00E934FA" w:rsidRDefault="00530161" w:rsidP="00C3123A">
            <w:pPr>
              <w:pStyle w:val="ListeLemma1"/>
              <w:numPr>
                <w:ilvl w:val="0"/>
                <w:numId w:val="0"/>
              </w:numPr>
              <w:spacing w:after="120"/>
              <w:rPr>
                <w:u w:val="single"/>
                <w:lang w:eastAsia="de-CH"/>
              </w:rPr>
            </w:pPr>
            <w:r w:rsidRPr="00E934FA">
              <w:rPr>
                <w:u w:val="single"/>
                <w:lang w:eastAsia="de-CH"/>
              </w:rPr>
              <w:t>Art. 24 Abs. 1</w:t>
            </w:r>
            <w:r w:rsidR="007567B8" w:rsidRPr="00E934FA">
              <w:rPr>
                <w:u w:val="single"/>
                <w:lang w:eastAsia="de-CH"/>
              </w:rPr>
              <w:t xml:space="preserve"> </w:t>
            </w:r>
            <w:r w:rsidR="00E705B8" w:rsidRPr="00E934FA">
              <w:rPr>
                <w:u w:val="single"/>
                <w:lang w:eastAsia="de-CH"/>
              </w:rPr>
              <w:t>(geltende Fassung):</w:t>
            </w:r>
          </w:p>
          <w:p w:rsidR="008F7BCD" w:rsidRPr="00E934FA" w:rsidRDefault="00E705B8" w:rsidP="00530161">
            <w:pPr>
              <w:pStyle w:val="ListeLemma1"/>
              <w:numPr>
                <w:ilvl w:val="0"/>
                <w:numId w:val="0"/>
              </w:numPr>
              <w:spacing w:after="120"/>
              <w:ind w:left="12"/>
              <w:rPr>
                <w:lang w:eastAsia="de-CH"/>
              </w:rPr>
            </w:pPr>
            <w:r w:rsidRPr="00E934FA">
              <w:rPr>
                <w:lang w:eastAsia="de-CH"/>
              </w:rPr>
              <w:t xml:space="preserve">Es ist unklar, was mit den Begriffen "Alleineigentum" oder "Beherrschung" gemeint ist. Aus rechtlicher Sicht möglich ist nur, </w:t>
            </w:r>
            <w:r w:rsidRPr="00E934FA">
              <w:rPr>
                <w:i/>
                <w:lang w:eastAsia="de-CH"/>
              </w:rPr>
              <w:t>Beteiligungen</w:t>
            </w:r>
            <w:r w:rsidRPr="00E934FA">
              <w:rPr>
                <w:lang w:eastAsia="de-CH"/>
              </w:rPr>
              <w:t xml:space="preserve"> an einer Gesellschaft zu halten, dies im Alleineigentum, Miteigentum oder Gesamteigentum. Wäre es also aufgrund der Bestimmung möglich, dass eine Anlagestiftung durch Alleineigentum an der Mehrheit der Beteiligungen (bspw. 51 Prozent) die Gesellschaft beherrscht oder bezweckt die Bestimmung, dass sämtliche Beteiligungen (100 Prozent) im Alleineigentum (also nicht im Mit- oder Gesamteigentum) der Stiftung gehalten werden? Der Wortlaut ist</w:t>
            </w:r>
            <w:r w:rsidR="000753CB">
              <w:rPr>
                <w:lang w:eastAsia="de-CH"/>
              </w:rPr>
              <w:t xml:space="preserve"> vollends</w:t>
            </w:r>
            <w:r w:rsidR="00CE2342" w:rsidRPr="00E934FA">
              <w:rPr>
                <w:lang w:eastAsia="de-CH"/>
              </w:rPr>
              <w:t xml:space="preserve"> </w:t>
            </w:r>
            <w:r w:rsidRPr="00E934FA">
              <w:rPr>
                <w:lang w:eastAsia="de-CH"/>
              </w:rPr>
              <w:t xml:space="preserve">unklar. </w:t>
            </w:r>
          </w:p>
          <w:p w:rsidR="008F7BCD" w:rsidRPr="00E934FA" w:rsidRDefault="00E705B8" w:rsidP="00530161">
            <w:pPr>
              <w:pStyle w:val="ListeLemma1"/>
              <w:numPr>
                <w:ilvl w:val="0"/>
                <w:numId w:val="0"/>
              </w:numPr>
              <w:spacing w:after="120"/>
              <w:ind w:left="12"/>
              <w:rPr>
                <w:lang w:eastAsia="de-CH"/>
              </w:rPr>
            </w:pPr>
            <w:r w:rsidRPr="00E934FA">
              <w:rPr>
                <w:lang w:eastAsia="de-CH"/>
              </w:rPr>
              <w:t>Sämtliche Auslegungsvarianten sind vom Rechtsrahmen von Art. 53g ff. BVG</w:t>
            </w:r>
            <w:r w:rsidR="008F7BCD" w:rsidRPr="00E934FA">
              <w:rPr>
                <w:lang w:eastAsia="de-CH"/>
              </w:rPr>
              <w:t xml:space="preserve"> und insbesondere Art. 53h Abs. 3 BVG, wonach die Anlegerversammlung die Organisation festlegt,</w:t>
            </w:r>
            <w:r w:rsidRPr="00E934FA">
              <w:rPr>
                <w:lang w:eastAsia="de-CH"/>
              </w:rPr>
              <w:t xml:space="preserve"> nicht gedeckt und damit gesetzeswidrig. Sie schränken zudem die Organisationsfreiheit der Anlagestiftungen ohne ausreichende Begründung ein und verstossen damit gegen das Verhältnismässigkeitsprinzip, die Eigentumsgarantie und die Wirtschaftsfreiheit.</w:t>
            </w:r>
            <w:r w:rsidR="00530161" w:rsidRPr="00E934FA">
              <w:rPr>
                <w:lang w:eastAsia="de-CH"/>
              </w:rPr>
              <w:t xml:space="preserve"> </w:t>
            </w:r>
          </w:p>
          <w:p w:rsidR="00E705B8" w:rsidRDefault="00530161" w:rsidP="00530161">
            <w:pPr>
              <w:pStyle w:val="ListeLemma1"/>
              <w:numPr>
                <w:ilvl w:val="0"/>
                <w:numId w:val="0"/>
              </w:numPr>
              <w:spacing w:after="120"/>
              <w:ind w:left="12"/>
              <w:rPr>
                <w:lang w:eastAsia="de-CH"/>
              </w:rPr>
            </w:pPr>
            <w:r w:rsidRPr="00E934FA">
              <w:rPr>
                <w:lang w:eastAsia="de-CH"/>
              </w:rPr>
              <w:t xml:space="preserve">Der Erläuternde Bericht </w:t>
            </w:r>
            <w:r w:rsidR="007A03B1" w:rsidRPr="00E934FA">
              <w:rPr>
                <w:lang w:eastAsia="de-CH"/>
              </w:rPr>
              <w:t xml:space="preserve">für die Vernehmlassung des Bundesamtes für Sozialversicherungen (BSV) vom 12. November 2010 </w:t>
            </w:r>
            <w:r w:rsidR="00CF7403" w:rsidRPr="00E934FA">
              <w:rPr>
                <w:lang w:eastAsia="de-CH"/>
              </w:rPr>
              <w:t xml:space="preserve">("Vernehmlassungsbericht") </w:t>
            </w:r>
            <w:r w:rsidRPr="00E934FA">
              <w:rPr>
                <w:lang w:eastAsia="de-CH"/>
              </w:rPr>
              <w:t>erwähnt lediglich, dass diese Bestimmung den Zweck verfolgt, "…allfälligen Risiken (Klumpenrisiko, Haftung der Stiftung, Interessenkonflikte, intransparente Verschachtelungen usw.) vorzubeugen". Diese Begründung ist aus rechtsstaatlicher Sicht äusserst bedenklich. Um den Risiken intransparenter Strukturen zu begegnen hat der Gesetzgeber geeignete Regeln getroffen (Loyalitätsbestimmungen und Transparenz). Es ist nicht einsichtig, weshalb sich die ASV über diese sinnvollen Regeln hinwegsetzt.</w:t>
            </w:r>
          </w:p>
          <w:p w:rsidR="002E0D4E" w:rsidRPr="00E934FA" w:rsidRDefault="0075621C" w:rsidP="00530161">
            <w:pPr>
              <w:pStyle w:val="ListeLemma1"/>
              <w:numPr>
                <w:ilvl w:val="0"/>
                <w:numId w:val="0"/>
              </w:numPr>
              <w:spacing w:after="120"/>
              <w:ind w:left="12"/>
              <w:rPr>
                <w:lang w:eastAsia="de-CH"/>
              </w:rPr>
            </w:pPr>
            <w:r>
              <w:rPr>
                <w:lang w:eastAsia="de-CH"/>
              </w:rPr>
              <w:t>Vgl. Abs.</w:t>
            </w:r>
            <w:r w:rsidR="002E0D4E">
              <w:rPr>
                <w:lang w:eastAsia="de-CH"/>
              </w:rPr>
              <w:t xml:space="preserve"> 1 </w:t>
            </w:r>
            <w:r w:rsidR="00850255">
              <w:rPr>
                <w:lang w:eastAsia="de-CH"/>
              </w:rPr>
              <w:t xml:space="preserve">(Einleitungssatz) </w:t>
            </w:r>
            <w:r w:rsidR="002E0D4E">
              <w:rPr>
                <w:lang w:eastAsia="de-CH"/>
              </w:rPr>
              <w:t>des Vorschlags.</w:t>
            </w:r>
          </w:p>
          <w:p w:rsidR="00530161" w:rsidRPr="00E934FA" w:rsidRDefault="007567B8" w:rsidP="00B30C59">
            <w:pPr>
              <w:pStyle w:val="ListeLemma1"/>
              <w:numPr>
                <w:ilvl w:val="0"/>
                <w:numId w:val="0"/>
              </w:numPr>
              <w:spacing w:after="120"/>
              <w:ind w:left="12"/>
              <w:rPr>
                <w:lang w:eastAsia="de-CH"/>
              </w:rPr>
            </w:pPr>
            <w:r w:rsidRPr="00E934FA">
              <w:rPr>
                <w:u w:val="single"/>
                <w:lang w:eastAsia="de-CH"/>
              </w:rPr>
              <w:t>Art. 24 Abs. 2</w:t>
            </w:r>
            <w:r w:rsidR="00530161" w:rsidRPr="00E934FA">
              <w:rPr>
                <w:u w:val="single"/>
                <w:lang w:eastAsia="de-CH"/>
              </w:rPr>
              <w:t xml:space="preserve"> lit. a (geltende Fassung):</w:t>
            </w:r>
          </w:p>
          <w:p w:rsidR="00223F6E" w:rsidRDefault="00F54333" w:rsidP="008E3C66">
            <w:pPr>
              <w:pStyle w:val="ListeLemma1"/>
              <w:numPr>
                <w:ilvl w:val="0"/>
                <w:numId w:val="0"/>
              </w:numPr>
              <w:spacing w:after="120"/>
              <w:ind w:left="12"/>
              <w:rPr>
                <w:lang w:eastAsia="de-CH"/>
              </w:rPr>
            </w:pPr>
            <w:r w:rsidRPr="00E934FA">
              <w:rPr>
                <w:lang w:eastAsia="de-CH"/>
              </w:rPr>
              <w:t>Es ist nicht einsichtig, weshalb Beteiligungen auf Aktiengesellschaften beschränkt sein sollen. Auch bei der GmbH besteht keine persönliche Haftung, und eine Nachschusspflicht besteht nur bei entsprechender statutarischer Grundlage.</w:t>
            </w:r>
          </w:p>
          <w:p w:rsidR="002E0D4E" w:rsidRPr="00E934FA" w:rsidRDefault="00850255" w:rsidP="008E3C66">
            <w:pPr>
              <w:pStyle w:val="ListeLemma1"/>
              <w:numPr>
                <w:ilvl w:val="0"/>
                <w:numId w:val="0"/>
              </w:numPr>
              <w:spacing w:after="120"/>
              <w:ind w:left="12"/>
              <w:rPr>
                <w:lang w:eastAsia="de-CH"/>
              </w:rPr>
            </w:pPr>
            <w:r>
              <w:rPr>
                <w:lang w:eastAsia="de-CH"/>
              </w:rPr>
              <w:t>Vgl. Abs.</w:t>
            </w:r>
            <w:r w:rsidR="005C3E38">
              <w:rPr>
                <w:lang w:eastAsia="de-CH"/>
              </w:rPr>
              <w:t xml:space="preserve"> 2</w:t>
            </w:r>
            <w:r>
              <w:rPr>
                <w:lang w:eastAsia="de-CH"/>
              </w:rPr>
              <w:t xml:space="preserve"> lit.</w:t>
            </w:r>
            <w:r w:rsidR="002E0D4E">
              <w:rPr>
                <w:lang w:eastAsia="de-CH"/>
              </w:rPr>
              <w:t xml:space="preserve"> b des Vorschlags.</w:t>
            </w:r>
          </w:p>
          <w:p w:rsidR="00223F6E" w:rsidRPr="00E934FA" w:rsidRDefault="00223F6E" w:rsidP="00D11FB8">
            <w:pPr>
              <w:pStyle w:val="ListeLemma1"/>
              <w:numPr>
                <w:ilvl w:val="0"/>
                <w:numId w:val="0"/>
              </w:numPr>
              <w:spacing w:after="120"/>
              <w:ind w:left="12"/>
              <w:rPr>
                <w:u w:val="single"/>
                <w:lang w:eastAsia="de-CH"/>
              </w:rPr>
            </w:pPr>
            <w:r w:rsidRPr="00E934FA">
              <w:rPr>
                <w:u w:val="single"/>
                <w:lang w:eastAsia="de-CH"/>
              </w:rPr>
              <w:t>Art. 24 Abs. 2 lit. b (geltende Fassung):</w:t>
            </w:r>
          </w:p>
          <w:p w:rsidR="00860C2D" w:rsidRDefault="008E3C66" w:rsidP="00D11FB8">
            <w:pPr>
              <w:pStyle w:val="ListeLemma1"/>
              <w:numPr>
                <w:ilvl w:val="0"/>
                <w:numId w:val="0"/>
              </w:numPr>
              <w:spacing w:after="120"/>
              <w:ind w:left="12"/>
              <w:rPr>
                <w:lang w:eastAsia="de-CH"/>
              </w:rPr>
            </w:pPr>
            <w:r w:rsidRPr="00E934FA">
              <w:rPr>
                <w:lang w:eastAsia="de-CH"/>
              </w:rPr>
              <w:t xml:space="preserve">Die Regelung, wonach die Anlegerversammlung </w:t>
            </w:r>
            <w:r w:rsidR="00D705D2" w:rsidRPr="00E934FA">
              <w:rPr>
                <w:i/>
                <w:lang w:eastAsia="de-CH"/>
              </w:rPr>
              <w:t>zwingend</w:t>
            </w:r>
            <w:r w:rsidR="00D705D2" w:rsidRPr="00E934FA">
              <w:rPr>
                <w:lang w:eastAsia="de-CH"/>
              </w:rPr>
              <w:t xml:space="preserve"> </w:t>
            </w:r>
            <w:r w:rsidRPr="00E934FA">
              <w:rPr>
                <w:lang w:eastAsia="de-CH"/>
              </w:rPr>
              <w:t xml:space="preserve">zuständig ist für den Entscheid, ob Beteiligungen im Stammvermögen gehalten werden sollen, ist </w:t>
            </w:r>
            <w:r w:rsidR="00D705D2" w:rsidRPr="00E934FA">
              <w:rPr>
                <w:lang w:eastAsia="de-CH"/>
              </w:rPr>
              <w:t xml:space="preserve">zu starr und behindert den Betrieb der Stiftung. </w:t>
            </w:r>
            <w:r w:rsidR="00364B91" w:rsidRPr="00E934FA">
              <w:rPr>
                <w:lang w:eastAsia="de-CH"/>
              </w:rPr>
              <w:t xml:space="preserve">Zudem </w:t>
            </w:r>
            <w:r w:rsidR="00D705D2" w:rsidRPr="00E934FA">
              <w:rPr>
                <w:lang w:eastAsia="de-CH"/>
              </w:rPr>
              <w:t xml:space="preserve">passt </w:t>
            </w:r>
            <w:r w:rsidR="00364B91" w:rsidRPr="00E934FA">
              <w:rPr>
                <w:lang w:eastAsia="de-CH"/>
              </w:rPr>
              <w:t xml:space="preserve">sie </w:t>
            </w:r>
            <w:r w:rsidR="00D705D2" w:rsidRPr="00E934FA">
              <w:rPr>
                <w:lang w:eastAsia="de-CH"/>
              </w:rPr>
              <w:t xml:space="preserve">von ihrem Regelungsgehalt her nicht in den Katalog der unübertragbaren Befugnisse gemäss Art. 4 ASV, sondern vielmehr in </w:t>
            </w:r>
            <w:r w:rsidR="00BD6334" w:rsidRPr="00E934FA">
              <w:rPr>
                <w:lang w:eastAsia="de-CH"/>
              </w:rPr>
              <w:t xml:space="preserve">den </w:t>
            </w:r>
            <w:r w:rsidR="00D705D2" w:rsidRPr="00E934FA">
              <w:rPr>
                <w:lang w:eastAsia="de-CH"/>
              </w:rPr>
              <w:t xml:space="preserve">Katalog von Art. 13 Abs. 3 ASV, wo die </w:t>
            </w:r>
            <w:r w:rsidR="00D705D2" w:rsidRPr="00E934FA">
              <w:rPr>
                <w:i/>
                <w:lang w:eastAsia="de-CH"/>
              </w:rPr>
              <w:t>delegierbaren</w:t>
            </w:r>
            <w:r w:rsidR="00D705D2" w:rsidRPr="00E934FA">
              <w:rPr>
                <w:lang w:eastAsia="de-CH"/>
              </w:rPr>
              <w:t xml:space="preserve"> Aufgaben der Anlegerversammlung (</w:t>
            </w:r>
            <w:r w:rsidR="00BD6334" w:rsidRPr="00E934FA">
              <w:rPr>
                <w:lang w:eastAsia="de-CH"/>
              </w:rPr>
              <w:t xml:space="preserve">wie </w:t>
            </w:r>
            <w:r w:rsidR="00D705D2" w:rsidRPr="00E934FA">
              <w:rPr>
                <w:lang w:eastAsia="de-CH"/>
              </w:rPr>
              <w:t>bspw. Bildung und Aufhebung von Anlagegruppen) geregelt sind.</w:t>
            </w:r>
          </w:p>
          <w:p w:rsidR="0075621C" w:rsidRPr="00E934FA" w:rsidRDefault="00D34F26" w:rsidP="0075621C">
            <w:pPr>
              <w:pStyle w:val="ListeLemma1"/>
              <w:numPr>
                <w:ilvl w:val="0"/>
                <w:numId w:val="0"/>
              </w:numPr>
              <w:spacing w:after="120"/>
              <w:ind w:left="12"/>
              <w:rPr>
                <w:lang w:eastAsia="de-CH"/>
              </w:rPr>
            </w:pPr>
            <w:r>
              <w:rPr>
                <w:lang w:eastAsia="de-CH"/>
              </w:rPr>
              <w:t xml:space="preserve">Vgl. Abs. </w:t>
            </w:r>
            <w:r w:rsidR="005C3E38">
              <w:rPr>
                <w:lang w:eastAsia="de-CH"/>
              </w:rPr>
              <w:t>2</w:t>
            </w:r>
            <w:r>
              <w:rPr>
                <w:lang w:eastAsia="de-CH"/>
              </w:rPr>
              <w:t xml:space="preserve"> lit.</w:t>
            </w:r>
            <w:r w:rsidR="0075621C">
              <w:rPr>
                <w:lang w:eastAsia="de-CH"/>
              </w:rPr>
              <w:t xml:space="preserve"> c des Vorschlags.</w:t>
            </w:r>
          </w:p>
          <w:p w:rsidR="00774CE0" w:rsidRPr="00E934FA" w:rsidRDefault="00774CE0" w:rsidP="00853F3A">
            <w:pPr>
              <w:pStyle w:val="ListeLemma1"/>
              <w:numPr>
                <w:ilvl w:val="0"/>
                <w:numId w:val="0"/>
              </w:numPr>
              <w:spacing w:after="120"/>
              <w:ind w:left="12"/>
              <w:rPr>
                <w:u w:val="single"/>
                <w:lang w:eastAsia="de-CH"/>
              </w:rPr>
            </w:pPr>
            <w:r w:rsidRPr="00E934FA">
              <w:rPr>
                <w:u w:val="single"/>
                <w:lang w:eastAsia="de-CH"/>
              </w:rPr>
              <w:t xml:space="preserve">Art. 24 Abs. </w:t>
            </w:r>
            <w:r w:rsidR="005E08DD" w:rsidRPr="00E934FA">
              <w:rPr>
                <w:u w:val="single"/>
                <w:lang w:eastAsia="de-CH"/>
              </w:rPr>
              <w:t>2</w:t>
            </w:r>
            <w:r w:rsidRPr="00E934FA">
              <w:rPr>
                <w:u w:val="single"/>
                <w:lang w:eastAsia="de-CH"/>
              </w:rPr>
              <w:t xml:space="preserve"> lit. c </w:t>
            </w:r>
            <w:r w:rsidR="00406A41" w:rsidRPr="00E934FA">
              <w:rPr>
                <w:u w:val="single"/>
                <w:lang w:eastAsia="de-CH"/>
              </w:rPr>
              <w:t xml:space="preserve">und lit. g </w:t>
            </w:r>
            <w:r w:rsidRPr="00E934FA">
              <w:rPr>
                <w:u w:val="single"/>
                <w:lang w:eastAsia="de-CH"/>
              </w:rPr>
              <w:t>(geltende Fassung):</w:t>
            </w:r>
          </w:p>
          <w:p w:rsidR="00853F3A" w:rsidRDefault="00853F3A" w:rsidP="00853F3A">
            <w:pPr>
              <w:pStyle w:val="ListeLemma1"/>
              <w:numPr>
                <w:ilvl w:val="0"/>
                <w:numId w:val="0"/>
              </w:numPr>
              <w:spacing w:after="120"/>
              <w:ind w:left="12"/>
            </w:pPr>
            <w:r w:rsidRPr="00E934FA">
              <w:rPr>
                <w:lang w:eastAsia="de-CH"/>
              </w:rPr>
              <w:t>Die Bestimmung</w:t>
            </w:r>
            <w:r w:rsidR="009F72B7" w:rsidRPr="00E934FA">
              <w:rPr>
                <w:lang w:eastAsia="de-CH"/>
              </w:rPr>
              <w:t>en</w:t>
            </w:r>
            <w:r w:rsidRPr="00E934FA">
              <w:rPr>
                <w:lang w:eastAsia="de-CH"/>
              </w:rPr>
              <w:t xml:space="preserve"> </w:t>
            </w:r>
            <w:r w:rsidR="009F72B7" w:rsidRPr="00E934FA">
              <w:rPr>
                <w:lang w:eastAsia="de-CH"/>
              </w:rPr>
              <w:t>sind</w:t>
            </w:r>
            <w:r w:rsidRPr="00E934FA">
              <w:rPr>
                <w:lang w:eastAsia="de-CH"/>
              </w:rPr>
              <w:t xml:space="preserve"> unverhältnismässig und verst</w:t>
            </w:r>
            <w:r w:rsidR="009F72B7" w:rsidRPr="00E934FA">
              <w:rPr>
                <w:lang w:eastAsia="de-CH"/>
              </w:rPr>
              <w:t>o</w:t>
            </w:r>
            <w:r w:rsidRPr="00E934FA">
              <w:rPr>
                <w:lang w:eastAsia="de-CH"/>
              </w:rPr>
              <w:t>ss</w:t>
            </w:r>
            <w:r w:rsidR="009F72B7" w:rsidRPr="00E934FA">
              <w:rPr>
                <w:lang w:eastAsia="de-CH"/>
              </w:rPr>
              <w:t>en</w:t>
            </w:r>
            <w:r w:rsidRPr="00E934FA">
              <w:rPr>
                <w:lang w:eastAsia="de-CH"/>
              </w:rPr>
              <w:t xml:space="preserve"> gegen die Organisationsfreiheit (Wirtschaftsfreiheit). </w:t>
            </w:r>
            <w:r w:rsidR="009F72B7" w:rsidRPr="00E934FA">
              <w:rPr>
                <w:lang w:eastAsia="de-CH"/>
              </w:rPr>
              <w:t>Solch</w:t>
            </w:r>
            <w:r w:rsidR="00C316E8" w:rsidRPr="00E934FA">
              <w:rPr>
                <w:lang w:eastAsia="de-CH"/>
              </w:rPr>
              <w:t xml:space="preserve"> gravierende Einschränkung</w:t>
            </w:r>
            <w:r w:rsidR="009F72B7" w:rsidRPr="00E934FA">
              <w:rPr>
                <w:lang w:eastAsia="de-CH"/>
              </w:rPr>
              <w:t>en sind</w:t>
            </w:r>
            <w:r w:rsidR="00C316E8" w:rsidRPr="00E934FA">
              <w:rPr>
                <w:lang w:eastAsia="de-CH"/>
              </w:rPr>
              <w:t xml:space="preserve"> weder in der BVV 2 noch im KAG vorgesehen</w:t>
            </w:r>
            <w:r w:rsidR="009F72B7" w:rsidRPr="00E934FA">
              <w:rPr>
                <w:lang w:eastAsia="de-CH"/>
              </w:rPr>
              <w:t>. Die Bestimmungen wären daher</w:t>
            </w:r>
            <w:r w:rsidR="00C316E8" w:rsidRPr="00E934FA">
              <w:rPr>
                <w:lang w:eastAsia="de-CH"/>
              </w:rPr>
              <w:t xml:space="preserve"> zu streichen. Subsidiär zu einer Stre</w:t>
            </w:r>
            <w:r w:rsidR="005C3E38">
              <w:rPr>
                <w:lang w:eastAsia="de-CH"/>
              </w:rPr>
              <w:t>ichung könnte vorgesehen werden</w:t>
            </w:r>
            <w:r w:rsidRPr="00E934FA">
              <w:rPr>
                <w:lang w:eastAsia="de-CH"/>
              </w:rPr>
              <w:t>,</w:t>
            </w:r>
            <w:r w:rsidR="00C316E8" w:rsidRPr="00E934FA">
              <w:rPr>
                <w:lang w:eastAsia="de-CH"/>
              </w:rPr>
              <w:t xml:space="preserve"> dass</w:t>
            </w:r>
            <w:r w:rsidRPr="00E934FA">
              <w:rPr>
                <w:lang w:eastAsia="de-CH"/>
              </w:rPr>
              <w:t xml:space="preserve"> </w:t>
            </w:r>
            <w:r w:rsidR="00BD6334" w:rsidRPr="00E934FA">
              <w:rPr>
                <w:lang w:eastAsia="de-CH"/>
              </w:rPr>
              <w:t xml:space="preserve">die Tätigkeit der Gesellschaften im Zusammenhang mit der Verwaltung von Vorsorgegeldern </w:t>
            </w:r>
            <w:r w:rsidR="009F72B7" w:rsidRPr="00E934FA">
              <w:rPr>
                <w:lang w:eastAsia="de-CH"/>
              </w:rPr>
              <w:t xml:space="preserve">(der Stiftung oder von Drittinstitutionen) </w:t>
            </w:r>
            <w:r w:rsidR="00BD6334" w:rsidRPr="00E934FA">
              <w:rPr>
                <w:lang w:eastAsia="de-CH"/>
              </w:rPr>
              <w:t>stehe</w:t>
            </w:r>
            <w:r w:rsidR="00C316E8" w:rsidRPr="00E934FA">
              <w:rPr>
                <w:lang w:eastAsia="de-CH"/>
              </w:rPr>
              <w:t>n muss</w:t>
            </w:r>
            <w:r w:rsidR="00C316E8" w:rsidRPr="00E934FA">
              <w:t xml:space="preserve">. Da sich </w:t>
            </w:r>
            <w:r w:rsidR="000C6801" w:rsidRPr="00E934FA">
              <w:t xml:space="preserve">diese Einschränkung im Einzelfall </w:t>
            </w:r>
            <w:r w:rsidR="009F72B7" w:rsidRPr="00E934FA">
              <w:t xml:space="preserve">aber </w:t>
            </w:r>
            <w:r w:rsidR="000C6801" w:rsidRPr="00E934FA">
              <w:t xml:space="preserve">für die Stiftung und ihre Anleger als nachteilig erweisen kann, muss sie von der Anlegerversammlung </w:t>
            </w:r>
            <w:r w:rsidR="0016057C" w:rsidRPr="00E934FA">
              <w:t xml:space="preserve">(im Sinne einer </w:t>
            </w:r>
            <w:r w:rsidR="00F72FDA" w:rsidRPr="00E934FA">
              <w:t xml:space="preserve">durch die Statuten </w:t>
            </w:r>
            <w:r w:rsidR="0016057C" w:rsidRPr="00E934FA">
              <w:t xml:space="preserve">delegierbaren Kompetenz) </w:t>
            </w:r>
            <w:r w:rsidR="000C6801" w:rsidRPr="00E934FA">
              <w:t>aufgehoben werden können</w:t>
            </w:r>
            <w:r w:rsidRPr="00E934FA">
              <w:t>.</w:t>
            </w:r>
          </w:p>
          <w:p w:rsidR="005C3E38" w:rsidRPr="00E934FA" w:rsidRDefault="005C3E38" w:rsidP="005C3E38">
            <w:pPr>
              <w:pStyle w:val="ListeLemma1"/>
              <w:numPr>
                <w:ilvl w:val="0"/>
                <w:numId w:val="0"/>
              </w:numPr>
              <w:spacing w:after="120"/>
              <w:ind w:left="12"/>
              <w:rPr>
                <w:lang w:eastAsia="de-CH"/>
              </w:rPr>
            </w:pPr>
            <w:r>
              <w:rPr>
                <w:lang w:eastAsia="de-CH"/>
              </w:rPr>
              <w:t>Vgl. Abs. 2 lit. d des Vorschlags.</w:t>
            </w:r>
          </w:p>
          <w:p w:rsidR="00691D17" w:rsidRPr="00E934FA" w:rsidRDefault="00691D17" w:rsidP="00691D17">
            <w:pPr>
              <w:pStyle w:val="ListeLemma1"/>
              <w:numPr>
                <w:ilvl w:val="0"/>
                <w:numId w:val="0"/>
              </w:numPr>
              <w:spacing w:after="120"/>
              <w:ind w:left="12"/>
              <w:rPr>
                <w:u w:val="single"/>
                <w:lang w:eastAsia="de-CH"/>
              </w:rPr>
            </w:pPr>
            <w:r w:rsidRPr="00E934FA">
              <w:rPr>
                <w:u w:val="single"/>
                <w:lang w:eastAsia="de-CH"/>
              </w:rPr>
              <w:t xml:space="preserve">Art. 24 Abs. </w:t>
            </w:r>
            <w:r w:rsidR="005E08DD" w:rsidRPr="00E934FA">
              <w:rPr>
                <w:u w:val="single"/>
                <w:lang w:eastAsia="de-CH"/>
              </w:rPr>
              <w:t>2</w:t>
            </w:r>
            <w:r w:rsidRPr="00E934FA">
              <w:rPr>
                <w:u w:val="single"/>
                <w:lang w:eastAsia="de-CH"/>
              </w:rPr>
              <w:t xml:space="preserve"> lit. d (geltende Fassung):</w:t>
            </w:r>
          </w:p>
          <w:p w:rsidR="002E3BEE" w:rsidRDefault="00A032C3" w:rsidP="00853F3A">
            <w:pPr>
              <w:pStyle w:val="ListeLemma1"/>
              <w:numPr>
                <w:ilvl w:val="0"/>
                <w:numId w:val="0"/>
              </w:numPr>
              <w:spacing w:after="120"/>
              <w:ind w:left="12"/>
              <w:rPr>
                <w:lang w:eastAsia="de-CH"/>
              </w:rPr>
            </w:pPr>
            <w:r w:rsidRPr="00E934FA">
              <w:rPr>
                <w:lang w:eastAsia="de-CH"/>
              </w:rPr>
              <w:t>Das Verhältnis zu Artikel 7 ASV</w:t>
            </w:r>
            <w:r w:rsidR="002E3BEE">
              <w:rPr>
                <w:lang w:eastAsia="de-CH"/>
              </w:rPr>
              <w:t xml:space="preserve"> sollte klargestellt werden</w:t>
            </w:r>
            <w:r w:rsidRPr="00E934FA">
              <w:rPr>
                <w:lang w:eastAsia="de-CH"/>
              </w:rPr>
              <w:t>.</w:t>
            </w:r>
          </w:p>
          <w:p w:rsidR="00691D17" w:rsidRPr="00E934FA" w:rsidRDefault="002E3BEE" w:rsidP="002E3BEE">
            <w:pPr>
              <w:pStyle w:val="ListeLemma1"/>
              <w:numPr>
                <w:ilvl w:val="0"/>
                <w:numId w:val="0"/>
              </w:numPr>
              <w:spacing w:after="120"/>
              <w:ind w:left="12"/>
              <w:rPr>
                <w:lang w:eastAsia="de-CH"/>
              </w:rPr>
            </w:pPr>
            <w:r>
              <w:rPr>
                <w:lang w:eastAsia="de-CH"/>
              </w:rPr>
              <w:t xml:space="preserve">Vgl. Abs. 2 lit. </w:t>
            </w:r>
            <w:r w:rsidR="007B5B06">
              <w:rPr>
                <w:lang w:eastAsia="de-CH"/>
              </w:rPr>
              <w:t>e</w:t>
            </w:r>
            <w:r>
              <w:rPr>
                <w:lang w:eastAsia="de-CH"/>
              </w:rPr>
              <w:t xml:space="preserve"> des Vorschlags.</w:t>
            </w:r>
            <w:r w:rsidR="00A032C3" w:rsidRPr="00E934FA">
              <w:rPr>
                <w:lang w:eastAsia="de-CH"/>
              </w:rPr>
              <w:t xml:space="preserve"> </w:t>
            </w:r>
          </w:p>
          <w:p w:rsidR="00A032C3" w:rsidRPr="00E934FA" w:rsidRDefault="00A032C3" w:rsidP="00A032C3">
            <w:pPr>
              <w:pStyle w:val="ListeLemma1"/>
              <w:numPr>
                <w:ilvl w:val="0"/>
                <w:numId w:val="0"/>
              </w:numPr>
              <w:spacing w:after="120"/>
              <w:ind w:left="12"/>
              <w:rPr>
                <w:u w:val="single"/>
                <w:lang w:eastAsia="de-CH"/>
              </w:rPr>
            </w:pPr>
            <w:r w:rsidRPr="00E934FA">
              <w:rPr>
                <w:u w:val="single"/>
                <w:lang w:eastAsia="de-CH"/>
              </w:rPr>
              <w:t xml:space="preserve">Art. 24 Abs. </w:t>
            </w:r>
            <w:r w:rsidR="005E08DD" w:rsidRPr="00E934FA">
              <w:rPr>
                <w:u w:val="single"/>
                <w:lang w:eastAsia="de-CH"/>
              </w:rPr>
              <w:t>2</w:t>
            </w:r>
            <w:r w:rsidRPr="00E934FA">
              <w:rPr>
                <w:u w:val="single"/>
                <w:lang w:eastAsia="de-CH"/>
              </w:rPr>
              <w:t xml:space="preserve"> lit. e (geltende Fassung):</w:t>
            </w:r>
          </w:p>
          <w:p w:rsidR="00BC4686" w:rsidRPr="00E934FA" w:rsidRDefault="00222722" w:rsidP="00222722">
            <w:pPr>
              <w:pStyle w:val="ListeLemma1"/>
              <w:numPr>
                <w:ilvl w:val="0"/>
                <w:numId w:val="0"/>
              </w:numPr>
              <w:spacing w:after="120"/>
              <w:ind w:left="12"/>
              <w:rPr>
                <w:lang w:eastAsia="de-CH"/>
              </w:rPr>
            </w:pPr>
            <w:r w:rsidRPr="00E934FA">
              <w:rPr>
                <w:lang w:eastAsia="de-CH"/>
              </w:rPr>
              <w:t xml:space="preserve">Diese Bestimmung ist gesetzeswidrig, jedenfalls dann, wenn es sich bei den </w:t>
            </w:r>
            <w:r w:rsidR="00820FB6" w:rsidRPr="00E934FA">
              <w:rPr>
                <w:lang w:eastAsia="de-CH"/>
              </w:rPr>
              <w:t>Untergesellschaften</w:t>
            </w:r>
            <w:r w:rsidRPr="00E934FA">
              <w:rPr>
                <w:lang w:eastAsia="de-CH"/>
              </w:rPr>
              <w:t xml:space="preserve"> um Aktiengesellschaften mit Sitz in der Schweiz handelt. Gemäss Art. 716a OR ist die Oberleitung der Gesellschaft und die Erteilung der nötigen Weisungen, die Festlegung der Organisation, die Oberaufsicht über die mit der Geschäftsführung betrauten Personen, etc. unübertragbar und unentziehbar dem Verwaltungsrat zugeteilt. Die Aufgabenteilung in der Aktiengesellschaft, insbesondere dieser (zwingend) unübertragbare und unentziehbare Kompetenzbereich des Verwaltungsrates, bildet ein Fundament des Aktienrechts. Eine generelle Kontrolle der Geschäftsführung der Tochtergesellschaften durch den Stiftungsrat widerspricht damit zwingendem Aktienrecht. </w:t>
            </w:r>
          </w:p>
          <w:p w:rsidR="00A032C3" w:rsidRPr="00E934FA" w:rsidRDefault="00222722" w:rsidP="00222722">
            <w:pPr>
              <w:pStyle w:val="ListeLemma1"/>
              <w:numPr>
                <w:ilvl w:val="0"/>
                <w:numId w:val="0"/>
              </w:numPr>
              <w:spacing w:after="120"/>
              <w:ind w:left="12"/>
              <w:rPr>
                <w:lang w:eastAsia="de-CH"/>
              </w:rPr>
            </w:pPr>
            <w:r w:rsidRPr="00E934FA">
              <w:rPr>
                <w:lang w:eastAsia="de-CH"/>
              </w:rPr>
              <w:t>Möglich ist eine Kontrolle in dem Sinne, dass sich die Stiftung über die Ausführung von delegierten Aufgaben unterrichten lässt, was bereits durch Artikel 7 Abs. 3 abgedeckt ist.</w:t>
            </w:r>
          </w:p>
          <w:p w:rsidR="00222722" w:rsidRPr="00E934FA" w:rsidRDefault="00222722" w:rsidP="00222722">
            <w:pPr>
              <w:pStyle w:val="ListeLemma1"/>
              <w:numPr>
                <w:ilvl w:val="0"/>
                <w:numId w:val="0"/>
              </w:numPr>
              <w:spacing w:after="120"/>
              <w:ind w:left="12"/>
              <w:rPr>
                <w:u w:val="single"/>
                <w:lang w:eastAsia="de-CH"/>
              </w:rPr>
            </w:pPr>
            <w:r w:rsidRPr="00E934FA">
              <w:rPr>
                <w:u w:val="single"/>
                <w:lang w:eastAsia="de-CH"/>
              </w:rPr>
              <w:t xml:space="preserve">Art. 24 Abs. </w:t>
            </w:r>
            <w:r w:rsidR="005E08DD" w:rsidRPr="00E934FA">
              <w:rPr>
                <w:u w:val="single"/>
                <w:lang w:eastAsia="de-CH"/>
              </w:rPr>
              <w:t>2</w:t>
            </w:r>
            <w:r w:rsidRPr="00E934FA">
              <w:rPr>
                <w:u w:val="single"/>
                <w:lang w:eastAsia="de-CH"/>
              </w:rPr>
              <w:t xml:space="preserve"> lit. f (geltende Fassung):</w:t>
            </w:r>
          </w:p>
          <w:p w:rsidR="00BC4686" w:rsidRPr="00E934FA" w:rsidRDefault="00F92C56" w:rsidP="00CF7403">
            <w:pPr>
              <w:pStyle w:val="ListeLemma1"/>
              <w:numPr>
                <w:ilvl w:val="0"/>
                <w:numId w:val="0"/>
              </w:numPr>
              <w:spacing w:after="120"/>
              <w:ind w:left="12"/>
              <w:rPr>
                <w:lang w:eastAsia="de-CH"/>
              </w:rPr>
            </w:pPr>
            <w:r w:rsidRPr="00E934FA">
              <w:rPr>
                <w:lang w:eastAsia="de-CH"/>
              </w:rPr>
              <w:t>Begründet wird diese einschneidende Beschränkung der Organisationsfreiheit im Vernehmlassungsbericht damit, dass die Bestimmung "die Gefahren durch verschachtelte Gesellschaftsstrukturen und die damit einhergehende Intransparenz" verhindere.</w:t>
            </w:r>
            <w:r w:rsidR="00CF7403" w:rsidRPr="00E934FA">
              <w:rPr>
                <w:lang w:eastAsia="de-CH"/>
              </w:rPr>
              <w:t xml:space="preserve"> Zum einen kann bei einer dreistufigen Struktur (Anlagestiftung/Tochtergesellschaft/Enkelgesellschaft) längst nicht von einer verschachtelten und intransparenten Gesellschaftsstruktur gesprochen werden, zum anderen ist in keiner Weise ersichtlich, weshalb in diesem Zusammenhang ein Verbot eingeführt werden muss, wenn doch Transparenzvorschriften </w:t>
            </w:r>
            <w:r w:rsidR="00B130EA" w:rsidRPr="00E934FA">
              <w:rPr>
                <w:lang w:eastAsia="de-CH"/>
              </w:rPr>
              <w:t xml:space="preserve">und Vorschriften betreffend Überwachung der delegierten Dienstleistungen (auch bei Weiterdelegation) </w:t>
            </w:r>
            <w:r w:rsidR="00CF7403" w:rsidRPr="00E934FA">
              <w:rPr>
                <w:lang w:eastAsia="de-CH"/>
              </w:rPr>
              <w:t xml:space="preserve">vollends ausreichend sind. </w:t>
            </w:r>
          </w:p>
          <w:p w:rsidR="00222722" w:rsidRPr="00E934FA" w:rsidRDefault="00CF7403" w:rsidP="00CF7403">
            <w:pPr>
              <w:pStyle w:val="ListeLemma1"/>
              <w:numPr>
                <w:ilvl w:val="0"/>
                <w:numId w:val="0"/>
              </w:numPr>
              <w:spacing w:after="120"/>
              <w:ind w:left="12"/>
              <w:rPr>
                <w:lang w:eastAsia="de-CH"/>
              </w:rPr>
            </w:pPr>
            <w:r w:rsidRPr="00E934FA">
              <w:rPr>
                <w:lang w:eastAsia="de-CH"/>
              </w:rPr>
              <w:t>Die Bestimmung ist</w:t>
            </w:r>
            <w:r w:rsidR="00B130EA" w:rsidRPr="00E934FA">
              <w:rPr>
                <w:lang w:eastAsia="de-CH"/>
              </w:rPr>
              <w:t xml:space="preserve"> damit</w:t>
            </w:r>
            <w:r w:rsidRPr="00E934FA">
              <w:rPr>
                <w:lang w:eastAsia="de-CH"/>
              </w:rPr>
              <w:t xml:space="preserve"> unverhältnismässig </w:t>
            </w:r>
            <w:r w:rsidR="00B130EA" w:rsidRPr="00E934FA">
              <w:rPr>
                <w:lang w:eastAsia="de-CH"/>
              </w:rPr>
              <w:t xml:space="preserve">(insbesondere geht sie über das erforderliche Mass hinaus) </w:t>
            </w:r>
            <w:r w:rsidRPr="00E934FA">
              <w:rPr>
                <w:lang w:eastAsia="de-CH"/>
              </w:rPr>
              <w:t>und verstösst gegen die Wirtschaftsfrei</w:t>
            </w:r>
            <w:r w:rsidR="00B130EA" w:rsidRPr="00E934FA">
              <w:rPr>
                <w:lang w:eastAsia="de-CH"/>
              </w:rPr>
              <w:t>heit. Da</w:t>
            </w:r>
            <w:r w:rsidRPr="00E934FA">
              <w:rPr>
                <w:lang w:eastAsia="de-CH"/>
              </w:rPr>
              <w:t xml:space="preserve"> der Gesetzgeber, der die Organisation der Anlagestiftung der Autonomie der Anlegerversammlung überlassen hat (Art. 53h Abs. 3 BVG), eine solche Einschränkung nicht autorisiert hat, liegt so</w:t>
            </w:r>
            <w:r w:rsidR="00B130EA" w:rsidRPr="00E934FA">
              <w:rPr>
                <w:lang w:eastAsia="de-CH"/>
              </w:rPr>
              <w:t>dann eine Gesetzeswidrigkeit vor</w:t>
            </w:r>
            <w:r w:rsidRPr="00E934FA">
              <w:rPr>
                <w:lang w:eastAsia="de-CH"/>
              </w:rPr>
              <w:t>.</w:t>
            </w:r>
          </w:p>
          <w:p w:rsidR="001E6029" w:rsidRDefault="001E6029" w:rsidP="00CF7403">
            <w:pPr>
              <w:pStyle w:val="ListeLemma1"/>
              <w:numPr>
                <w:ilvl w:val="0"/>
                <w:numId w:val="0"/>
              </w:numPr>
              <w:spacing w:after="120"/>
              <w:ind w:left="12"/>
              <w:rPr>
                <w:lang w:eastAsia="de-CH"/>
              </w:rPr>
            </w:pPr>
            <w:r w:rsidRPr="00E934FA">
              <w:rPr>
                <w:lang w:eastAsia="de-CH"/>
              </w:rPr>
              <w:t xml:space="preserve">Eine verhältnismässige Massnahme könnte </w:t>
            </w:r>
            <w:r w:rsidR="00B130EA" w:rsidRPr="00E934FA">
              <w:rPr>
                <w:lang w:eastAsia="de-CH"/>
              </w:rPr>
              <w:t xml:space="preserve">neben Transparenzregeln </w:t>
            </w:r>
            <w:r w:rsidRPr="00E934FA">
              <w:rPr>
                <w:lang w:eastAsia="de-CH"/>
              </w:rPr>
              <w:t xml:space="preserve">darin liegen, dass </w:t>
            </w:r>
            <w:r w:rsidR="005113F9" w:rsidRPr="00E934FA">
              <w:rPr>
                <w:lang w:eastAsia="de-CH"/>
              </w:rPr>
              <w:t xml:space="preserve">gleich wie im Anlagefondsrecht Anforderungen an die Subdelegation von Dienstleistungen aufgestellt und </w:t>
            </w:r>
            <w:r w:rsidRPr="00E934FA">
              <w:rPr>
                <w:lang w:eastAsia="de-CH"/>
              </w:rPr>
              <w:t xml:space="preserve">die Organe der Gesellschaft und allfälliger Untergesellschaften eine Haftpflichtversicherung abschliessen </w:t>
            </w:r>
            <w:r w:rsidR="007C408C">
              <w:rPr>
                <w:lang w:eastAsia="de-CH"/>
              </w:rPr>
              <w:t>müssen</w:t>
            </w:r>
            <w:r w:rsidRPr="00E934FA">
              <w:rPr>
                <w:lang w:eastAsia="de-CH"/>
              </w:rPr>
              <w:t>.</w:t>
            </w:r>
          </w:p>
          <w:p w:rsidR="007C408C" w:rsidRPr="00E934FA" w:rsidRDefault="007C408C" w:rsidP="007C408C">
            <w:pPr>
              <w:pStyle w:val="ListeLemma1"/>
              <w:numPr>
                <w:ilvl w:val="0"/>
                <w:numId w:val="0"/>
              </w:numPr>
              <w:spacing w:after="120"/>
              <w:ind w:left="12"/>
              <w:rPr>
                <w:lang w:eastAsia="de-CH"/>
              </w:rPr>
            </w:pPr>
            <w:r>
              <w:rPr>
                <w:lang w:eastAsia="de-CH"/>
              </w:rPr>
              <w:t xml:space="preserve">Vgl. Abs. 2 lit. </w:t>
            </w:r>
            <w:r w:rsidR="00860557">
              <w:rPr>
                <w:lang w:eastAsia="de-CH"/>
              </w:rPr>
              <w:t>e und f</w:t>
            </w:r>
            <w:r>
              <w:rPr>
                <w:lang w:eastAsia="de-CH"/>
              </w:rPr>
              <w:t xml:space="preserve"> des Vorschlags.</w:t>
            </w:r>
          </w:p>
          <w:p w:rsidR="006C2723" w:rsidRPr="00E934FA" w:rsidRDefault="006C2723" w:rsidP="00406A41">
            <w:pPr>
              <w:pStyle w:val="ListeLemma1"/>
              <w:numPr>
                <w:ilvl w:val="0"/>
                <w:numId w:val="0"/>
              </w:numPr>
              <w:spacing w:after="120"/>
              <w:ind w:left="12"/>
              <w:rPr>
                <w:u w:val="single"/>
                <w:lang w:eastAsia="de-CH"/>
              </w:rPr>
            </w:pPr>
            <w:r w:rsidRPr="00E934FA">
              <w:rPr>
                <w:u w:val="single"/>
                <w:lang w:eastAsia="de-CH"/>
              </w:rPr>
              <w:t>Art. 24 Abs. 1 lit. g (geltende Fassung):</w:t>
            </w:r>
          </w:p>
          <w:p w:rsidR="0051216F" w:rsidRPr="00E934FA" w:rsidRDefault="00406A41" w:rsidP="0051216F">
            <w:pPr>
              <w:pStyle w:val="ListeLemma1"/>
              <w:numPr>
                <w:ilvl w:val="0"/>
                <w:numId w:val="0"/>
              </w:numPr>
              <w:spacing w:after="120"/>
              <w:ind w:left="12"/>
              <w:rPr>
                <w:lang w:eastAsia="de-CH"/>
              </w:rPr>
            </w:pPr>
            <w:r w:rsidRPr="00E934FA">
              <w:rPr>
                <w:lang w:eastAsia="de-CH"/>
              </w:rPr>
              <w:t>Vgl. oben bei lit. c (geltende Fassung).</w:t>
            </w:r>
          </w:p>
          <w:p w:rsidR="00E759D8" w:rsidRPr="00E934FA" w:rsidRDefault="00E759D8" w:rsidP="00E759D8">
            <w:pPr>
              <w:pStyle w:val="ListeLemma1"/>
              <w:numPr>
                <w:ilvl w:val="0"/>
                <w:numId w:val="0"/>
              </w:numPr>
              <w:spacing w:after="120"/>
              <w:ind w:left="12"/>
              <w:rPr>
                <w:lang w:eastAsia="de-CH"/>
              </w:rPr>
            </w:pPr>
            <w:r w:rsidRPr="00E934FA">
              <w:rPr>
                <w:u w:val="single"/>
                <w:lang w:eastAsia="de-CH"/>
              </w:rPr>
              <w:t xml:space="preserve">Allgemein </w:t>
            </w:r>
            <w:r w:rsidRPr="00E934FA">
              <w:rPr>
                <w:lang w:eastAsia="de-CH"/>
              </w:rPr>
              <w:t>sei schliesslich festgehalten, dass der geltende Art. 24 ASV – ohne Vorliegen sachlicher Gründe – existierende und für die Vorsorgewerke günstige Strukturen, insbesondere im Bereich der Immobilien-Anlagestiftungen, verunmöglicht, was letztlich die Vorsorgesparer nachteilig trifft.</w:t>
            </w:r>
          </w:p>
        </w:tc>
      </w:tr>
      <w:tr w:rsidR="00860C2D" w:rsidRPr="00E934FA" w:rsidTr="00E432EB">
        <w:tc>
          <w:tcPr>
            <w:tcW w:w="4270" w:type="dxa"/>
          </w:tcPr>
          <w:p w:rsidR="00A06222" w:rsidRPr="00E934FA" w:rsidRDefault="00A06222" w:rsidP="00D360E4">
            <w:pPr>
              <w:pStyle w:val="Listenabsatz"/>
              <w:ind w:left="851" w:hanging="851"/>
            </w:pPr>
            <w:r w:rsidRPr="00E934FA">
              <w:rPr>
                <w:b/>
              </w:rPr>
              <w:t xml:space="preserve">Art. 25 </w:t>
            </w:r>
            <w:r w:rsidR="00D360E4" w:rsidRPr="00E934FA">
              <w:rPr>
                <w:b/>
              </w:rPr>
              <w:tab/>
            </w:r>
            <w:r w:rsidR="000D3427" w:rsidRPr="00E934FA">
              <w:t>Beteiligungen im Stammvermögen</w:t>
            </w:r>
          </w:p>
          <w:p w:rsidR="00A06222" w:rsidRPr="00E934FA" w:rsidRDefault="00A06222" w:rsidP="00A06222">
            <w:pPr>
              <w:pStyle w:val="Listenabsatz"/>
              <w:ind w:left="0"/>
              <w:rPr>
                <w:b/>
              </w:rPr>
            </w:pPr>
          </w:p>
          <w:p w:rsidR="00A06222" w:rsidRPr="00E934FA" w:rsidRDefault="00A06222" w:rsidP="004A4EBE">
            <w:pPr>
              <w:pStyle w:val="Listenabsatz"/>
              <w:ind w:left="0"/>
            </w:pPr>
            <w:r w:rsidRPr="00E934FA">
              <w:rPr>
                <w:vertAlign w:val="superscript"/>
              </w:rPr>
              <w:t>1</w:t>
            </w:r>
            <w:r w:rsidR="004A4EBE" w:rsidRPr="00E934FA">
              <w:t xml:space="preserve"> </w:t>
            </w:r>
            <w:r w:rsidRPr="00E934FA">
              <w:t>Mehrere Stiftungen können sich gemeinsam an einer nicht kotierten schweizerischen</w:t>
            </w:r>
            <w:r w:rsidR="004A4EBE" w:rsidRPr="00E934FA">
              <w:t xml:space="preserve"> </w:t>
            </w:r>
            <w:r w:rsidRPr="00E934FA">
              <w:t>Aktiengesellschaft beteiligen, sofern sie dadurch das vollständige Aktienkapital</w:t>
            </w:r>
            <w:r w:rsidR="004A4EBE" w:rsidRPr="00E934FA">
              <w:t xml:space="preserve"> </w:t>
            </w:r>
            <w:r w:rsidRPr="00E934FA">
              <w:t>halten. Die Beteiligung pro Stiftung muss mindestens 20 Prozent betragen.</w:t>
            </w:r>
          </w:p>
          <w:p w:rsidR="00A06222" w:rsidRPr="00E934FA" w:rsidRDefault="00A06222" w:rsidP="00A06222">
            <w:pPr>
              <w:pStyle w:val="Listenabsatz"/>
            </w:pPr>
          </w:p>
          <w:p w:rsidR="00A06222" w:rsidRPr="00E934FA" w:rsidRDefault="00A06222" w:rsidP="004A4EBE">
            <w:pPr>
              <w:pStyle w:val="Listenabsatz"/>
              <w:ind w:left="0"/>
            </w:pPr>
            <w:r w:rsidRPr="00E934FA">
              <w:rPr>
                <w:vertAlign w:val="superscript"/>
              </w:rPr>
              <w:t>2</w:t>
            </w:r>
            <w:r w:rsidR="004A4EBE" w:rsidRPr="00E934FA">
              <w:t xml:space="preserve"> </w:t>
            </w:r>
            <w:r w:rsidRPr="00E934FA">
              <w:t>Einer beteiligten Stiftung muss auf Verlangen eine Vertretung im Verwaltungsrat</w:t>
            </w:r>
            <w:r w:rsidR="004A4EBE" w:rsidRPr="00E934FA">
              <w:t xml:space="preserve"> </w:t>
            </w:r>
            <w:r w:rsidRPr="00E934FA">
              <w:t>gewährt werden.</w:t>
            </w:r>
          </w:p>
          <w:p w:rsidR="00A06222" w:rsidRPr="00E934FA" w:rsidRDefault="00A06222" w:rsidP="00A06222">
            <w:pPr>
              <w:pStyle w:val="Listenabsatz"/>
            </w:pPr>
          </w:p>
          <w:p w:rsidR="00860C2D" w:rsidRDefault="00A06222" w:rsidP="004A4EBE">
            <w:pPr>
              <w:pStyle w:val="Listenabsatz"/>
              <w:ind w:left="0"/>
            </w:pPr>
            <w:r w:rsidRPr="00E934FA">
              <w:rPr>
                <w:vertAlign w:val="superscript"/>
              </w:rPr>
              <w:t>3</w:t>
            </w:r>
            <w:r w:rsidR="004A4EBE" w:rsidRPr="00E934FA">
              <w:t xml:space="preserve"> </w:t>
            </w:r>
            <w:r w:rsidRPr="00E934FA">
              <w:t>Im Übrigen gilt Artikel 24 Absätze 2 und 3</w:t>
            </w:r>
            <w:r w:rsidR="004A4EBE" w:rsidRPr="00E934FA">
              <w:t xml:space="preserve"> </w:t>
            </w:r>
            <w:r w:rsidRPr="00E934FA">
              <w:t>sinngemäss.</w:t>
            </w:r>
          </w:p>
          <w:p w:rsidR="005058B4" w:rsidRDefault="005058B4" w:rsidP="004A4EBE">
            <w:pPr>
              <w:pStyle w:val="Listenabsatz"/>
              <w:ind w:left="0"/>
            </w:pPr>
          </w:p>
          <w:p w:rsidR="005058B4" w:rsidRDefault="005058B4" w:rsidP="004A4EBE">
            <w:pPr>
              <w:pStyle w:val="Listenabsatz"/>
              <w:ind w:left="0"/>
            </w:pPr>
          </w:p>
          <w:p w:rsidR="005058B4" w:rsidRDefault="005058B4" w:rsidP="004A4EBE">
            <w:pPr>
              <w:pStyle w:val="Listenabsatz"/>
              <w:ind w:left="0"/>
            </w:pPr>
          </w:p>
          <w:p w:rsidR="005058B4" w:rsidRDefault="005058B4" w:rsidP="004A4EBE">
            <w:pPr>
              <w:pStyle w:val="Listenabsatz"/>
              <w:ind w:left="0"/>
            </w:pPr>
          </w:p>
          <w:p w:rsidR="005058B4" w:rsidRDefault="005058B4" w:rsidP="004A4EBE">
            <w:pPr>
              <w:pStyle w:val="Listenabsatz"/>
              <w:ind w:left="0"/>
            </w:pPr>
          </w:p>
          <w:p w:rsidR="005058B4" w:rsidRDefault="005058B4" w:rsidP="004A4EBE">
            <w:pPr>
              <w:pStyle w:val="Listenabsatz"/>
              <w:ind w:left="0"/>
            </w:pPr>
          </w:p>
          <w:p w:rsidR="005058B4" w:rsidRPr="00E934FA" w:rsidRDefault="005058B4" w:rsidP="004A4EBE">
            <w:pPr>
              <w:pStyle w:val="Listenabsatz"/>
              <w:ind w:left="0"/>
            </w:pPr>
          </w:p>
          <w:p w:rsidR="005618C7" w:rsidRPr="00E934FA" w:rsidRDefault="005618C7" w:rsidP="004A4EBE">
            <w:pPr>
              <w:pStyle w:val="Listenabsatz"/>
              <w:ind w:left="0"/>
            </w:pPr>
          </w:p>
        </w:tc>
        <w:tc>
          <w:tcPr>
            <w:tcW w:w="4303" w:type="dxa"/>
          </w:tcPr>
          <w:p w:rsidR="00860C2D" w:rsidRPr="00E934FA" w:rsidRDefault="00A06222" w:rsidP="00FA1809">
            <w:pPr>
              <w:rPr>
                <w:i/>
              </w:rPr>
            </w:pPr>
            <w:r w:rsidRPr="00E934FA">
              <w:rPr>
                <w:i/>
              </w:rPr>
              <w:t>[</w:t>
            </w:r>
            <w:r w:rsidR="006D754B">
              <w:rPr>
                <w:i/>
              </w:rPr>
              <w:t>Gesamte</w:t>
            </w:r>
            <w:r w:rsidR="00E934FA" w:rsidRPr="00E934FA">
              <w:rPr>
                <w:i/>
              </w:rPr>
              <w:t xml:space="preserve"> Bestimmung </w:t>
            </w:r>
            <w:r w:rsidR="00FA1809">
              <w:rPr>
                <w:i/>
              </w:rPr>
              <w:t>s</w:t>
            </w:r>
            <w:r w:rsidRPr="00E934FA">
              <w:rPr>
                <w:i/>
              </w:rPr>
              <w:t>treichen]</w:t>
            </w:r>
          </w:p>
        </w:tc>
        <w:tc>
          <w:tcPr>
            <w:tcW w:w="5079" w:type="dxa"/>
          </w:tcPr>
          <w:p w:rsidR="00860C2D" w:rsidRPr="00E934FA" w:rsidRDefault="00A06222" w:rsidP="00A06222">
            <w:r w:rsidRPr="00E934FA">
              <w:t>Diese Vorschrift wird durch die neu gefasste  Bestimmung von Art. 24 ASV (vgl. oben) abgedeckt und kann damit entfallen.</w:t>
            </w:r>
          </w:p>
        </w:tc>
      </w:tr>
      <w:tr w:rsidR="00E64D7A" w:rsidRPr="00E934FA" w:rsidTr="00C80567">
        <w:tc>
          <w:tcPr>
            <w:tcW w:w="13652" w:type="dxa"/>
            <w:gridSpan w:val="3"/>
          </w:tcPr>
          <w:p w:rsidR="00E64D7A" w:rsidRPr="00E934FA" w:rsidRDefault="00E64D7A" w:rsidP="00E64D7A">
            <w:pPr>
              <w:pStyle w:val="ListeLemma1"/>
              <w:numPr>
                <w:ilvl w:val="0"/>
                <w:numId w:val="0"/>
              </w:numPr>
              <w:spacing w:after="120"/>
              <w:ind w:left="12"/>
              <w:rPr>
                <w:b/>
              </w:rPr>
            </w:pPr>
            <w:r w:rsidRPr="00E934FA">
              <w:rPr>
                <w:b/>
              </w:rPr>
              <w:t>10. Abschnitt: Anlagevermögen</w:t>
            </w:r>
          </w:p>
        </w:tc>
      </w:tr>
      <w:tr w:rsidR="00860C2D" w:rsidRPr="00E934FA" w:rsidTr="005058B4">
        <w:trPr>
          <w:trHeight w:val="4586"/>
        </w:trPr>
        <w:tc>
          <w:tcPr>
            <w:tcW w:w="4270" w:type="dxa"/>
          </w:tcPr>
          <w:p w:rsidR="00B45715" w:rsidRDefault="00B45715" w:rsidP="00E00B2A">
            <w:pPr>
              <w:pStyle w:val="Listenabsatz"/>
              <w:ind w:left="851" w:hanging="851"/>
            </w:pPr>
            <w:r w:rsidRPr="00E934FA">
              <w:rPr>
                <w:b/>
              </w:rPr>
              <w:t xml:space="preserve">Art. 26 </w:t>
            </w:r>
            <w:r w:rsidR="00D360E4" w:rsidRPr="00E934FA">
              <w:rPr>
                <w:b/>
              </w:rPr>
              <w:tab/>
            </w:r>
            <w:r w:rsidR="00AC4C7E" w:rsidRPr="00E934FA">
              <w:t>Allgemeine Bestimmungen</w:t>
            </w:r>
          </w:p>
          <w:p w:rsidR="00E00B2A" w:rsidRPr="00E00B2A" w:rsidRDefault="00E00B2A" w:rsidP="00E00B2A">
            <w:pPr>
              <w:pStyle w:val="Listenabsatz"/>
              <w:ind w:left="851" w:hanging="851"/>
            </w:pPr>
          </w:p>
          <w:p w:rsidR="00846ACB" w:rsidRDefault="00B45715" w:rsidP="00B45715">
            <w:pPr>
              <w:pStyle w:val="Listenabsatz"/>
              <w:ind w:left="0"/>
              <w:rPr>
                <w:b/>
              </w:rPr>
            </w:pPr>
            <w:r w:rsidRPr="00E934FA">
              <w:rPr>
                <w:vertAlign w:val="superscript"/>
              </w:rPr>
              <w:t>1</w:t>
            </w:r>
            <w:r w:rsidR="004A4EBE" w:rsidRPr="00E934FA">
              <w:t xml:space="preserve"> </w:t>
            </w:r>
            <w:r w:rsidRPr="00E934FA">
              <w:t>Soweit diese Verordnung keine besonde</w:t>
            </w:r>
            <w:r w:rsidR="004A4EBE" w:rsidRPr="00E934FA">
              <w:t xml:space="preserve">ren </w:t>
            </w:r>
            <w:r w:rsidRPr="00E934FA">
              <w:t>Regelungen enthält, gelten die Artikel</w:t>
            </w:r>
            <w:r w:rsidR="00856BF8" w:rsidRPr="00E934FA">
              <w:t xml:space="preserve"> </w:t>
            </w:r>
            <w:r w:rsidR="004A4EBE" w:rsidRPr="00E934FA">
              <w:t xml:space="preserve">49–56a </w:t>
            </w:r>
            <w:r w:rsidRPr="00E934FA">
              <w:t>BVV 2</w:t>
            </w:r>
            <w:r w:rsidRPr="00E934FA">
              <w:rPr>
                <w:vertAlign w:val="superscript"/>
              </w:rPr>
              <w:t>10</w:t>
            </w:r>
            <w:r w:rsidRPr="00E934FA">
              <w:t>, ausgenommen Artikel 50 Ab</w:t>
            </w:r>
            <w:r w:rsidR="004A4EBE" w:rsidRPr="00E934FA">
              <w:t xml:space="preserve">sätze 2, 4 </w:t>
            </w:r>
            <w:r w:rsidRPr="00E934FA">
              <w:t>und 5, für das Anlagevermögen</w:t>
            </w:r>
            <w:r w:rsidR="00856BF8" w:rsidRPr="00E934FA">
              <w:t xml:space="preserve"> </w:t>
            </w:r>
            <w:r w:rsidRPr="00E934FA">
              <w:t>sinngemäss.</w:t>
            </w:r>
          </w:p>
          <w:p w:rsidR="00E934FA" w:rsidRPr="00E934FA" w:rsidRDefault="00E934FA" w:rsidP="00B45715">
            <w:pPr>
              <w:pStyle w:val="Listenabsatz"/>
              <w:ind w:left="0"/>
              <w:rPr>
                <w:b/>
              </w:rPr>
            </w:pPr>
          </w:p>
          <w:p w:rsidR="00846ACB" w:rsidRPr="00E934FA" w:rsidRDefault="00B45715" w:rsidP="00846ACB">
            <w:pPr>
              <w:pStyle w:val="Listenabsatz"/>
              <w:ind w:left="0"/>
            </w:pPr>
            <w:r w:rsidRPr="00E934FA">
              <w:rPr>
                <w:vertAlign w:val="superscript"/>
              </w:rPr>
              <w:t>2</w:t>
            </w:r>
            <w:r w:rsidR="004A4EBE" w:rsidRPr="00E934FA">
              <w:t xml:space="preserve"> </w:t>
            </w:r>
            <w:r w:rsidRPr="00E934FA">
              <w:t>Für alle Anlagegruppen gilt der Grundsatz angemessener Risikoverteilung im</w:t>
            </w:r>
            <w:r w:rsidR="00856BF8" w:rsidRPr="00E934FA">
              <w:t xml:space="preserve"> </w:t>
            </w:r>
            <w:r w:rsidR="004A4EBE" w:rsidRPr="00E934FA">
              <w:t xml:space="preserve">Rahmen ihrer </w:t>
            </w:r>
            <w:r w:rsidRPr="00E934FA">
              <w:t>Fokussie</w:t>
            </w:r>
            <w:r w:rsidR="00846ACB" w:rsidRPr="00E934FA">
              <w:t>rung.</w:t>
            </w:r>
          </w:p>
          <w:p w:rsidR="00846ACB" w:rsidRPr="00E934FA" w:rsidRDefault="00846ACB" w:rsidP="00846ACB">
            <w:pPr>
              <w:pStyle w:val="Listenabsatz"/>
              <w:ind w:left="0"/>
            </w:pPr>
          </w:p>
          <w:p w:rsidR="00B45715" w:rsidRPr="00E934FA" w:rsidRDefault="00B45715" w:rsidP="00B45715">
            <w:r w:rsidRPr="00E934FA">
              <w:rPr>
                <w:vertAlign w:val="superscript"/>
              </w:rPr>
              <w:t>3</w:t>
            </w:r>
            <w:r w:rsidR="004A4EBE" w:rsidRPr="00E934FA">
              <w:t xml:space="preserve"> </w:t>
            </w:r>
            <w:r w:rsidRPr="00E934FA">
              <w:t>Bei Anlagegruppen mit einer auf einen gebräuchlichen Index ausgerichteten Strategie,</w:t>
            </w:r>
            <w:r w:rsidR="004A4EBE" w:rsidRPr="00E934FA">
              <w:t xml:space="preserve"> </w:t>
            </w:r>
            <w:r w:rsidRPr="00E934FA">
              <w:t>ausser bei gemis</w:t>
            </w:r>
            <w:r w:rsidR="004A4EBE" w:rsidRPr="00E934FA">
              <w:t xml:space="preserve">chten Anlagegruppen, dürfen die </w:t>
            </w:r>
            <w:r w:rsidRPr="00E934FA">
              <w:t xml:space="preserve">Schuldner- und Gesellschaftsbegrenzungen </w:t>
            </w:r>
            <w:r w:rsidR="004A4EBE" w:rsidRPr="00E934FA">
              <w:t xml:space="preserve">nach </w:t>
            </w:r>
            <w:r w:rsidRPr="00E934FA">
              <w:t>den Artikeln 54 und 54</w:t>
            </w:r>
            <w:r w:rsidRPr="00E934FA">
              <w:rPr>
                <w:i/>
              </w:rPr>
              <w:t>a</w:t>
            </w:r>
            <w:r w:rsidRPr="00E934FA">
              <w:t xml:space="preserve"> BVV 2 überschrit</w:t>
            </w:r>
            <w:r w:rsidR="004A4EBE" w:rsidRPr="00E934FA">
              <w:t xml:space="preserve">ten </w:t>
            </w:r>
            <w:r w:rsidRPr="00E934FA">
              <w:t>werden.</w:t>
            </w:r>
            <w:r w:rsidR="004A4EBE" w:rsidRPr="00E934FA">
              <w:t xml:space="preserve"> </w:t>
            </w:r>
            <w:r w:rsidRPr="00E934FA">
              <w:t>Die R</w:t>
            </w:r>
            <w:r w:rsidR="004A4EBE" w:rsidRPr="00E934FA">
              <w:t xml:space="preserve">ichtlinien müssen den Index und </w:t>
            </w:r>
            <w:r w:rsidRPr="00E934FA">
              <w:t>die maximale prozentuale Abweichung vom</w:t>
            </w:r>
            <w:r w:rsidR="004A4EBE" w:rsidRPr="00E934FA">
              <w:t xml:space="preserve"> </w:t>
            </w:r>
            <w:r w:rsidRPr="00E934FA">
              <w:t>Index nennen. Die Aufsichtsbehörde kann dazu Vorgaben machen.</w:t>
            </w:r>
          </w:p>
          <w:p w:rsidR="00B45715" w:rsidRPr="00E934FA" w:rsidRDefault="00B45715" w:rsidP="00B45715">
            <w:r w:rsidRPr="00E934FA">
              <w:rPr>
                <w:vertAlign w:val="superscript"/>
              </w:rPr>
              <w:t>4</w:t>
            </w:r>
            <w:r w:rsidR="004A4EBE" w:rsidRPr="00E934FA">
              <w:t xml:space="preserve"> </w:t>
            </w:r>
            <w:r w:rsidRPr="00E934FA">
              <w:t>Das Gegenparteirisiko bei Forderungen einer Anlagegruppe ist, ausser in den</w:t>
            </w:r>
            <w:r w:rsidR="004A4EBE" w:rsidRPr="00E934FA">
              <w:t xml:space="preserve"> </w:t>
            </w:r>
            <w:r w:rsidRPr="00E934FA">
              <w:t>Fällen von Absatz 3, auf 10 Prozent des Vermögens pro Schuldner zu beschränken.</w:t>
            </w:r>
            <w:r w:rsidR="004A4EBE" w:rsidRPr="00E934FA">
              <w:t xml:space="preserve"> </w:t>
            </w:r>
            <w:r w:rsidRPr="00E934FA">
              <w:t>Abweichungen sind möglich bei Forderungen gegenüber der Eidgenossenschaft und</w:t>
            </w:r>
            <w:r w:rsidR="004A4EBE" w:rsidRPr="00E934FA">
              <w:t xml:space="preserve"> </w:t>
            </w:r>
            <w:r w:rsidRPr="00E934FA">
              <w:t>schweizerischen Pfandbriefinstituten.</w:t>
            </w:r>
          </w:p>
          <w:p w:rsidR="00B45715" w:rsidRPr="00E934FA" w:rsidRDefault="00B45715" w:rsidP="00B45715">
            <w:r w:rsidRPr="00E934FA">
              <w:rPr>
                <w:vertAlign w:val="superscript"/>
              </w:rPr>
              <w:t>5</w:t>
            </w:r>
            <w:r w:rsidR="004A4EBE" w:rsidRPr="00E934FA">
              <w:t xml:space="preserve"> </w:t>
            </w:r>
            <w:r w:rsidRPr="00E934FA">
              <w:t>Die Stiftung achtet bei jeder Anlagegruppe auf ein angemessenes Liquiditätsmanagement.</w:t>
            </w:r>
          </w:p>
          <w:p w:rsidR="00B45715" w:rsidRPr="00E934FA" w:rsidRDefault="00B45715" w:rsidP="00B45715">
            <w:r w:rsidRPr="00E934FA">
              <w:rPr>
                <w:vertAlign w:val="superscript"/>
              </w:rPr>
              <w:t>6</w:t>
            </w:r>
            <w:r w:rsidR="004A4EBE" w:rsidRPr="00E934FA">
              <w:t xml:space="preserve"> </w:t>
            </w:r>
            <w:r w:rsidRPr="00E934FA">
              <w:t>Innerhalb der Anlagegruppe und der von ihr gehaltenen Kollektivanlagen sind</w:t>
            </w:r>
            <w:r w:rsidR="004A4EBE" w:rsidRPr="00E934FA">
              <w:t xml:space="preserve"> </w:t>
            </w:r>
            <w:r w:rsidRPr="00E934FA">
              <w:t>lediglich technisch bedingte, kurzfristige Kreditaufnahmen zulässig.</w:t>
            </w:r>
          </w:p>
          <w:p w:rsidR="00B45715" w:rsidRPr="00E934FA" w:rsidRDefault="00B45715" w:rsidP="00B45715">
            <w:r w:rsidRPr="00E934FA">
              <w:rPr>
                <w:vertAlign w:val="superscript"/>
              </w:rPr>
              <w:t>7</w:t>
            </w:r>
            <w:r w:rsidR="004A4EBE" w:rsidRPr="00E934FA">
              <w:t xml:space="preserve"> </w:t>
            </w:r>
            <w:r w:rsidRPr="00E934FA">
              <w:t>Von den Anlagerichtlinien darf nur im Einzelfall und befristet abgewichen werden,</w:t>
            </w:r>
            <w:r w:rsidR="004A4EBE" w:rsidRPr="00E934FA">
              <w:t xml:space="preserve"> </w:t>
            </w:r>
            <w:r w:rsidRPr="00E934FA">
              <w:t>wenn das Interesse der Anleger eine Abweichung dringend erfordert und der Präsident</w:t>
            </w:r>
            <w:r w:rsidR="004A4EBE" w:rsidRPr="00E934FA">
              <w:t xml:space="preserve"> </w:t>
            </w:r>
            <w:r w:rsidRPr="00E934FA">
              <w:t>oder die Präsidentin des Stiftungsrats der Abweichung zustimmt. Die Abweichungen</w:t>
            </w:r>
            <w:r w:rsidR="004A4EBE" w:rsidRPr="00E934FA">
              <w:t xml:space="preserve"> </w:t>
            </w:r>
            <w:r w:rsidRPr="00E934FA">
              <w:t>sind im Anhang der Jahresrechnung offenzulegen und zu begründen.</w:t>
            </w:r>
          </w:p>
          <w:p w:rsidR="00B45715" w:rsidRPr="00E934FA" w:rsidRDefault="00B45715" w:rsidP="00B45715">
            <w:r w:rsidRPr="00E934FA">
              <w:rPr>
                <w:vertAlign w:val="superscript"/>
              </w:rPr>
              <w:t>8</w:t>
            </w:r>
            <w:r w:rsidR="004A4EBE" w:rsidRPr="00E934FA">
              <w:t xml:space="preserve"> </w:t>
            </w:r>
            <w:r w:rsidRPr="00E934FA">
              <w:t>Abweic</w:t>
            </w:r>
            <w:r w:rsidR="004A4EBE" w:rsidRPr="00E934FA">
              <w:t xml:space="preserve">hungen von Fachempfehlungen der </w:t>
            </w:r>
            <w:r w:rsidRPr="00E934FA">
              <w:t>Aufsichtsbehörde zu den Anlagen im</w:t>
            </w:r>
            <w:r w:rsidR="004A4EBE" w:rsidRPr="00E934FA">
              <w:t xml:space="preserve"> </w:t>
            </w:r>
            <w:r w:rsidRPr="00E934FA">
              <w:t>Anlagevermögen müssen im Prospekt der Anlagegruppe oder, wo ein solcher fehlt,</w:t>
            </w:r>
            <w:r w:rsidR="004A4EBE" w:rsidRPr="00E934FA">
              <w:t xml:space="preserve"> </w:t>
            </w:r>
            <w:r w:rsidRPr="00E934FA">
              <w:t>im Anhang der Jahresrechnung aufgeführt werden.</w:t>
            </w:r>
          </w:p>
          <w:p w:rsidR="00860C2D" w:rsidRPr="00E934FA" w:rsidRDefault="00B45715" w:rsidP="00B45715">
            <w:r w:rsidRPr="00E934FA">
              <w:rPr>
                <w:vertAlign w:val="superscript"/>
              </w:rPr>
              <w:t>9</w:t>
            </w:r>
            <w:r w:rsidR="004A4EBE" w:rsidRPr="00E934FA">
              <w:t xml:space="preserve"> </w:t>
            </w:r>
            <w:r w:rsidRPr="00E934FA">
              <w:t>Die Aufsichtsbehörde kann in begründeten Einzelfällen Abweichungen von den</w:t>
            </w:r>
            <w:r w:rsidR="004A4EBE" w:rsidRPr="00E934FA">
              <w:t xml:space="preserve"> </w:t>
            </w:r>
            <w:r w:rsidRPr="00E934FA">
              <w:t>Vorschriften dieses Abschnitts zulassen und mit Auflagen verbinden.</w:t>
            </w:r>
          </w:p>
        </w:tc>
        <w:tc>
          <w:tcPr>
            <w:tcW w:w="4303" w:type="dxa"/>
          </w:tcPr>
          <w:p w:rsidR="004A4EBE" w:rsidRPr="00E934FA" w:rsidRDefault="004A4EBE" w:rsidP="00E934FA">
            <w:pPr>
              <w:ind w:left="833" w:hanging="833"/>
            </w:pPr>
            <w:r w:rsidRPr="00E934FA">
              <w:rPr>
                <w:b/>
              </w:rPr>
              <w:t xml:space="preserve">Art. 26 </w:t>
            </w:r>
            <w:r w:rsidR="001E7B90" w:rsidRPr="00E934FA">
              <w:rPr>
                <w:b/>
              </w:rPr>
              <w:tab/>
            </w:r>
            <w:r w:rsidR="00E934FA" w:rsidRPr="00E934FA">
              <w:t>Allgemeine Bestimmungen</w:t>
            </w:r>
          </w:p>
          <w:p w:rsidR="004A4EBE" w:rsidRDefault="004A4EBE" w:rsidP="004A4EBE">
            <w:pPr>
              <w:pStyle w:val="Listenabsatz"/>
              <w:ind w:left="0"/>
            </w:pPr>
            <w:r w:rsidRPr="00E934FA">
              <w:rPr>
                <w:vertAlign w:val="superscript"/>
              </w:rPr>
              <w:t>1</w:t>
            </w:r>
            <w:r w:rsidRPr="00E934FA">
              <w:t xml:space="preserve"> Soweit diese Verordnung keine besonderen Regelungen enthält, gelten die Artikel 49</w:t>
            </w:r>
            <w:r w:rsidR="0097460C">
              <w:t xml:space="preserve">, 49a, 50 Abs. 1, 51 und </w:t>
            </w:r>
            <w:r w:rsidRPr="00E934FA">
              <w:t xml:space="preserve">56a </w:t>
            </w:r>
            <w:r w:rsidR="0097460C">
              <w:t xml:space="preserve">Absätze 1–4, 6 und 7 </w:t>
            </w:r>
            <w:r w:rsidRPr="00E934FA">
              <w:t>BVV 2</w:t>
            </w:r>
            <w:r w:rsidR="0097460C">
              <w:t xml:space="preserve"> </w:t>
            </w:r>
            <w:r w:rsidRPr="00E934FA">
              <w:t>für das Anlagevermögen sinngemäss.</w:t>
            </w:r>
          </w:p>
          <w:p w:rsidR="00CB6827" w:rsidRDefault="00CB6827" w:rsidP="004A4EBE">
            <w:pPr>
              <w:pStyle w:val="Listenabsatz"/>
              <w:ind w:left="0"/>
            </w:pPr>
          </w:p>
          <w:p w:rsidR="00CB6827" w:rsidRPr="001C0456" w:rsidRDefault="00CB6827" w:rsidP="00CB6827">
            <w:pPr>
              <w:pStyle w:val="Listenabsatz"/>
              <w:ind w:left="0"/>
            </w:pPr>
            <w:r w:rsidRPr="001C0456">
              <w:rPr>
                <w:vertAlign w:val="superscript"/>
              </w:rPr>
              <w:t>2</w:t>
            </w:r>
            <w:r w:rsidRPr="001C0456">
              <w:t xml:space="preserve"> </w:t>
            </w:r>
            <w:r w:rsidR="00F041B4">
              <w:t>Als z</w:t>
            </w:r>
            <w:r>
              <w:t>ulässige</w:t>
            </w:r>
            <w:r w:rsidR="009E287C">
              <w:t xml:space="preserve"> Anlagearten</w:t>
            </w:r>
            <w:r w:rsidR="00F041B4">
              <w:t xml:space="preserve"> gelten</w:t>
            </w:r>
            <w:r>
              <w:t xml:space="preserve"> die in Art. 53 BVV 2 aufgeführten.</w:t>
            </w:r>
            <w:r w:rsidR="00F041B4">
              <w:t xml:space="preserve"> </w:t>
            </w:r>
            <w:r w:rsidR="009D45F8" w:rsidRPr="00E934FA">
              <w:t>Soweit diese Verordnung keine besonderen Regelungen enthält,</w:t>
            </w:r>
            <w:r w:rsidR="009D45F8">
              <w:t xml:space="preserve"> können Anlagegruppen aus einer oder mehreren Anlagearten</w:t>
            </w:r>
            <w:r w:rsidR="005C6762">
              <w:t xml:space="preserve"> sowie einer</w:t>
            </w:r>
            <w:r w:rsidR="009D45F8">
              <w:t xml:space="preserve"> oder mehre</w:t>
            </w:r>
            <w:r w:rsidR="009E287C">
              <w:t xml:space="preserve">ren </w:t>
            </w:r>
            <w:r w:rsidR="003356BF">
              <w:t xml:space="preserve">spezifischen </w:t>
            </w:r>
            <w:r w:rsidR="009E287C">
              <w:t>Anlage</w:t>
            </w:r>
            <w:r w:rsidR="009D45F8">
              <w:t>n bestehen.</w:t>
            </w:r>
          </w:p>
          <w:p w:rsidR="00E934FA" w:rsidRPr="00E934FA" w:rsidRDefault="00E934FA" w:rsidP="004A4EBE">
            <w:pPr>
              <w:pStyle w:val="Listenabsatz"/>
              <w:ind w:left="0"/>
              <w:rPr>
                <w:b/>
              </w:rPr>
            </w:pPr>
          </w:p>
          <w:p w:rsidR="00211FA9" w:rsidRPr="00E934FA" w:rsidRDefault="00211FA9" w:rsidP="004A4EBE">
            <w:pPr>
              <w:pStyle w:val="Listenabsatz"/>
              <w:ind w:left="0"/>
              <w:rPr>
                <w:i/>
              </w:rPr>
            </w:pPr>
            <w:r w:rsidRPr="00E934FA">
              <w:rPr>
                <w:i/>
              </w:rPr>
              <w:t>[</w:t>
            </w:r>
            <w:r w:rsidR="007F3FFC" w:rsidRPr="00E934FA">
              <w:rPr>
                <w:i/>
              </w:rPr>
              <w:t>Absätze 2–4 s</w:t>
            </w:r>
            <w:r w:rsidRPr="00E934FA">
              <w:rPr>
                <w:i/>
              </w:rPr>
              <w:t>treichen]</w:t>
            </w:r>
          </w:p>
          <w:p w:rsidR="004A26DE" w:rsidRPr="00E934FA" w:rsidRDefault="004A26DE" w:rsidP="004A4EBE">
            <w:pPr>
              <w:pStyle w:val="Listenabsatz"/>
              <w:ind w:left="0"/>
              <w:rPr>
                <w:i/>
              </w:rPr>
            </w:pPr>
          </w:p>
          <w:p w:rsidR="00666960" w:rsidRDefault="007F3FFC" w:rsidP="001C0456">
            <w:pPr>
              <w:pStyle w:val="Listenabsatz"/>
              <w:ind w:left="0"/>
              <w:rPr>
                <w:i/>
              </w:rPr>
            </w:pPr>
            <w:r w:rsidRPr="00E934FA">
              <w:rPr>
                <w:i/>
              </w:rPr>
              <w:t>[Absatz 5 unverändert</w:t>
            </w:r>
            <w:r w:rsidR="00602278" w:rsidRPr="00E934FA">
              <w:rPr>
                <w:i/>
              </w:rPr>
              <w:t xml:space="preserve"> als neuer Absatz </w:t>
            </w:r>
            <w:r w:rsidR="00B3676C">
              <w:rPr>
                <w:i/>
              </w:rPr>
              <w:t>3</w:t>
            </w:r>
            <w:r w:rsidRPr="00E934FA">
              <w:rPr>
                <w:i/>
              </w:rPr>
              <w:t>]</w:t>
            </w:r>
          </w:p>
          <w:p w:rsidR="00FA521F" w:rsidRDefault="00FA521F" w:rsidP="001C0456">
            <w:pPr>
              <w:pStyle w:val="Listenabsatz"/>
              <w:ind w:left="0"/>
              <w:rPr>
                <w:vertAlign w:val="superscript"/>
              </w:rPr>
            </w:pPr>
          </w:p>
          <w:p w:rsidR="004A4EBE" w:rsidRPr="00E934FA" w:rsidRDefault="00B3676C" w:rsidP="004A4EBE">
            <w:r>
              <w:rPr>
                <w:vertAlign w:val="superscript"/>
              </w:rPr>
              <w:t>4</w:t>
            </w:r>
            <w:r w:rsidR="004A4EBE" w:rsidRPr="00E934FA">
              <w:t xml:space="preserve"> Innerhalb der Anlagegruppe und der von ihr gehaltenen Kollektivanlagen sind technisch bedingte, kurzfristige Kreditaufnahmen zulässig.</w:t>
            </w:r>
            <w:r w:rsidR="007F3FFC" w:rsidRPr="00E934FA">
              <w:t xml:space="preserve"> Kreditaufnahmen, die die Rückgabe von Ansprüchen der Anleger finanzieren, sind zugelassen, sofern sie innerhalb einer angemessenen Frist wieder getilgt werden</w:t>
            </w:r>
            <w:r w:rsidR="00F01B3C">
              <w:t xml:space="preserve">. Die </w:t>
            </w:r>
            <w:r w:rsidR="006616F1">
              <w:t xml:space="preserve">Angemessenheit der </w:t>
            </w:r>
            <w:r w:rsidR="00F01B3C">
              <w:t xml:space="preserve">Frist bemisst sich </w:t>
            </w:r>
            <w:r w:rsidR="006616F1">
              <w:t xml:space="preserve">im Einzelfall </w:t>
            </w:r>
            <w:r w:rsidR="00F01B3C">
              <w:t xml:space="preserve">nach der Liquidität </w:t>
            </w:r>
            <w:r w:rsidR="006616F1">
              <w:t xml:space="preserve">der jeweiligen </w:t>
            </w:r>
            <w:r w:rsidR="004B5732">
              <w:t>Anlagen der Anlagegruppe</w:t>
            </w:r>
            <w:r w:rsidR="00F01B3C">
              <w:t>.</w:t>
            </w:r>
          </w:p>
          <w:p w:rsidR="00FB215D" w:rsidRPr="00E934FA" w:rsidRDefault="00B3676C" w:rsidP="00FB215D">
            <w:r>
              <w:rPr>
                <w:vertAlign w:val="superscript"/>
              </w:rPr>
              <w:t>5</w:t>
            </w:r>
            <w:r w:rsidR="004A4EBE" w:rsidRPr="00E934FA">
              <w:t xml:space="preserve"> </w:t>
            </w:r>
            <w:r w:rsidR="00FB215D" w:rsidRPr="00E934FA">
              <w:t>Werden die Beschränkungen durch Marktveränderungen überschritten, so müssen die Anlagen unter Wahrung der Interessen der Anlegerinnen und Anleger innerhalb einer angemessenen Frist auf das zulässige Mass zurückgeführt werden.</w:t>
            </w:r>
          </w:p>
          <w:p w:rsidR="00FB215D" w:rsidRPr="00E934FA" w:rsidRDefault="00B3676C" w:rsidP="00FB215D">
            <w:r>
              <w:rPr>
                <w:vertAlign w:val="superscript"/>
              </w:rPr>
              <w:t>6</w:t>
            </w:r>
            <w:r w:rsidR="004D47EB" w:rsidRPr="00E934FA">
              <w:t xml:space="preserve"> Effekten-Anlagegruppen</w:t>
            </w:r>
            <w:r w:rsidR="00FB215D" w:rsidRPr="00E934FA">
              <w:t xml:space="preserve"> müssen die Anlagebeschränkungen sechs Monate nach der Lancierung erfüllen.</w:t>
            </w:r>
            <w:r w:rsidR="004D47EB" w:rsidRPr="00E934FA">
              <w:t xml:space="preserve"> </w:t>
            </w:r>
            <w:r w:rsidR="00FB215D" w:rsidRPr="00E934FA">
              <w:t>Immobilie</w:t>
            </w:r>
            <w:r w:rsidR="004D47EB" w:rsidRPr="00E934FA">
              <w:t>n-Anlagegruppen</w:t>
            </w:r>
            <w:r w:rsidR="00FB215D" w:rsidRPr="00E934FA">
              <w:t xml:space="preserve"> müssen die Anlagebeschränkungen zwei Jahre nach der Lancierung erfüllen.</w:t>
            </w:r>
            <w:r w:rsidR="004D47EB" w:rsidRPr="00E934FA">
              <w:t xml:space="preserve"> Die Abweichungen sind im Anhang der Jahresrechnung offenzulegen und zu begründen.</w:t>
            </w:r>
          </w:p>
          <w:p w:rsidR="004A4EBE" w:rsidRPr="00E934FA" w:rsidRDefault="00B3676C" w:rsidP="004A4EBE">
            <w:r>
              <w:rPr>
                <w:vertAlign w:val="superscript"/>
              </w:rPr>
              <w:t>7</w:t>
            </w:r>
            <w:r w:rsidR="004D47EB" w:rsidRPr="00E934FA">
              <w:t xml:space="preserve"> Die Aufsichtsbehörde kann die Fristen des</w:t>
            </w:r>
            <w:r w:rsidR="00FB215D" w:rsidRPr="00E934FA">
              <w:t xml:space="preserve"> Ab</w:t>
            </w:r>
            <w:r w:rsidR="004D47EB" w:rsidRPr="00E934FA">
              <w:t xml:space="preserve">satzes </w:t>
            </w:r>
            <w:r w:rsidR="00560471">
              <w:t>6</w:t>
            </w:r>
            <w:r w:rsidR="004D47EB" w:rsidRPr="00E934FA">
              <w:t xml:space="preserve"> auf Gesuch des Stiftungsrates </w:t>
            </w:r>
            <w:r w:rsidR="00FB215D" w:rsidRPr="00E934FA">
              <w:t>erstrecken.</w:t>
            </w:r>
          </w:p>
          <w:p w:rsidR="00860C2D" w:rsidRPr="00E934FA" w:rsidRDefault="00602278" w:rsidP="004A4EBE">
            <w:pPr>
              <w:rPr>
                <w:i/>
              </w:rPr>
            </w:pPr>
            <w:r w:rsidRPr="00E934FA">
              <w:rPr>
                <w:i/>
              </w:rPr>
              <w:t>[Abs</w:t>
            </w:r>
            <w:r w:rsidR="007C1C54" w:rsidRPr="00E934FA">
              <w:rPr>
                <w:i/>
              </w:rPr>
              <w:t>atz 8</w:t>
            </w:r>
            <w:r w:rsidRPr="00E934FA">
              <w:rPr>
                <w:i/>
              </w:rPr>
              <w:t xml:space="preserve"> unverändert</w:t>
            </w:r>
            <w:r w:rsidR="007C1C54" w:rsidRPr="00E934FA">
              <w:rPr>
                <w:i/>
              </w:rPr>
              <w:t>]</w:t>
            </w:r>
          </w:p>
          <w:p w:rsidR="007C1C54" w:rsidRPr="00E934FA" w:rsidRDefault="007C1C54" w:rsidP="004A4EBE">
            <w:r w:rsidRPr="00E934FA">
              <w:rPr>
                <w:i/>
              </w:rPr>
              <w:t>[Absatz 9 unverändert]</w:t>
            </w:r>
          </w:p>
        </w:tc>
        <w:tc>
          <w:tcPr>
            <w:tcW w:w="5079" w:type="dxa"/>
          </w:tcPr>
          <w:p w:rsidR="007C625D" w:rsidRPr="00E934FA" w:rsidRDefault="009819F3" w:rsidP="00427CCC">
            <w:pPr>
              <w:rPr>
                <w:u w:val="single"/>
              </w:rPr>
            </w:pPr>
            <w:r w:rsidRPr="00E934FA">
              <w:rPr>
                <w:u w:val="single"/>
              </w:rPr>
              <w:t>Art. 26 Abs. 1–4 (geltende Fassung)</w:t>
            </w:r>
            <w:r w:rsidR="004D146E" w:rsidRPr="00E934FA">
              <w:rPr>
                <w:u w:val="single"/>
              </w:rPr>
              <w:t>:</w:t>
            </w:r>
          </w:p>
          <w:p w:rsidR="00F57740" w:rsidRDefault="007C625D" w:rsidP="00427CCC">
            <w:r w:rsidRPr="00E934FA">
              <w:t xml:space="preserve">Diese Regelungen </w:t>
            </w:r>
            <w:r w:rsidR="00427CCC" w:rsidRPr="00E934FA">
              <w:t xml:space="preserve">verkennen die eigentliche Natur der Anlagestiftung und </w:t>
            </w:r>
            <w:r w:rsidRPr="00E934FA">
              <w:t>leisten auch keinen Beitrag zum</w:t>
            </w:r>
            <w:r w:rsidR="001D6498" w:rsidRPr="00E934FA">
              <w:t xml:space="preserve"> </w:t>
            </w:r>
            <w:r w:rsidR="00427CCC" w:rsidRPr="00E934FA">
              <w:t>Schutz der Anleger; sie können nicht anders als konzepti</w:t>
            </w:r>
            <w:r w:rsidRPr="00E934FA">
              <w:t xml:space="preserve">onell falsch bezeichnet werden: </w:t>
            </w:r>
            <w:r w:rsidR="00427CCC" w:rsidRPr="00E934FA">
              <w:t>Da die BVV 2-Diversifikationsvorschriften bereits zwingend auf Stufe der (profess</w:t>
            </w:r>
            <w:r w:rsidRPr="00E934FA">
              <w:t xml:space="preserve">ionellen) </w:t>
            </w:r>
            <w:r w:rsidR="00427CCC" w:rsidRPr="00E934FA">
              <w:t xml:space="preserve">Anleger einzuhalten sind, stellt eine Unterwerfung der Anlagestiftung unter das </w:t>
            </w:r>
            <w:r w:rsidR="00E94059" w:rsidRPr="00E934FA">
              <w:t xml:space="preserve">identische </w:t>
            </w:r>
            <w:r w:rsidR="008D17EE" w:rsidRPr="00E934FA">
              <w:t>An</w:t>
            </w:r>
            <w:r w:rsidR="00427CCC" w:rsidRPr="00E934FA">
              <w:t>lageregime der BVV 2 eine unnötige – und für die Vorso</w:t>
            </w:r>
            <w:r w:rsidR="008D17EE" w:rsidRPr="00E934FA">
              <w:t xml:space="preserve">rgesparer äusserst kostspielige </w:t>
            </w:r>
            <w:r w:rsidR="00427CCC" w:rsidRPr="00E934FA">
              <w:t>– Überregulierung dar. Entspricht eine Anlagegruppe nicht den Diversifi</w:t>
            </w:r>
            <w:r w:rsidR="008D17EE" w:rsidRPr="00E934FA">
              <w:t xml:space="preserve">kationsvorschriften </w:t>
            </w:r>
            <w:r w:rsidR="00427CCC" w:rsidRPr="00E934FA">
              <w:t>der BVV 2, so bedeutet dies für einen Anleger, dass</w:t>
            </w:r>
            <w:r w:rsidR="008D17EE" w:rsidRPr="00E934FA">
              <w:t xml:space="preserve"> er sein Vermögen nur zu Teilen </w:t>
            </w:r>
            <w:r w:rsidR="00427CCC" w:rsidRPr="00E934FA">
              <w:t>in diese Anlagegruppe investieren kann, damit die Anlage letztlich BVV 2-konform au</w:t>
            </w:r>
            <w:r w:rsidR="008D17EE" w:rsidRPr="00E934FA">
              <w:t xml:space="preserve">sfällt. </w:t>
            </w:r>
            <w:r w:rsidR="00427CCC" w:rsidRPr="00E934FA">
              <w:t>Nicht die Anlagestiftung ist Adressatin von Vorschrif</w:t>
            </w:r>
            <w:r w:rsidR="008D17EE" w:rsidRPr="00E934FA">
              <w:t xml:space="preserve">ten betreffend Diversifikation </w:t>
            </w:r>
            <w:r w:rsidR="00427CCC" w:rsidRPr="00E934FA">
              <w:t>und Risikobeurteilung, sondern die der BVV 2 unters</w:t>
            </w:r>
            <w:r w:rsidR="008D17EE" w:rsidRPr="00E934FA">
              <w:t xml:space="preserve">tehenden Vorsorgeeinrichtungen. </w:t>
            </w:r>
            <w:r w:rsidR="00127DAD" w:rsidRPr="00E934FA">
              <w:t xml:space="preserve">Der Vorteil für die Vorsorgewerke ist derjenige, dass Anlagestiftungen – entsprechend dem Charakter als Hilfseinrichtungen – für ihre Zwecke geeignete Anlagegruppen zur Verfügung stellen, in welche die Vorsorgewerke – in Übereinstimmung mit den Diversifikationsvorschriften – investieren. Selbstverständlich ist dabei, dass die Anlagegruppen genügende Transparenz bieten müssen. </w:t>
            </w:r>
          </w:p>
          <w:p w:rsidR="00127DAD" w:rsidRPr="00E934FA" w:rsidRDefault="00E35D31" w:rsidP="00427CCC">
            <w:r>
              <w:t>Demgegenüber muss das Anlageuniversum der Anlagestiftung mit demjenigen von Vorsorgeeinrichtungen identisch sein (vgl. vorgeschlagener Abs. 2</w:t>
            </w:r>
            <w:r w:rsidR="004B5732">
              <w:t>, Satz 1</w:t>
            </w:r>
            <w:r>
              <w:t>).</w:t>
            </w:r>
            <w:r w:rsidR="00623A80">
              <w:t xml:space="preserve"> Die notwendige Transparenz bei Anlagegruppen mit einer (bspw. im Bereich Immobilien) oder einigen wenigen Anlagen ist durch Art. 14 ASV sichergestellt, wonach der Anlagefokus, die zulässigen Anlagen und die Anlagerestriktionen für die Anlagegruppe vollständig und klar in den Anlagerichtlinien darzulegen ist (vgl. vorgeschlagener Abs. 2, Satz 2).</w:t>
            </w:r>
          </w:p>
          <w:p w:rsidR="00127DAD" w:rsidRPr="00E934FA" w:rsidRDefault="00127DAD" w:rsidP="00427CCC">
            <w:r w:rsidRPr="00E934FA">
              <w:t>Will man die Anlagestiftungen den Diversifikationsvorschriften der BVV 2 unterstellen und eine doppelte Einhaltung der BVV 2-Anlagevorschriften schaffen, so müsste man konsequenterweise auch Anlagefonds, in welche die Vorsorgewerke investieren, diesen Bestimmungen unterstellen. Zudem müsste man wohl Vorsorgewerken verbieten, in direkte Anlagen zu investieren, weil auch hier keine doppelte Überwachung der Anlagevorschriften stattfindet.</w:t>
            </w:r>
            <w:r w:rsidR="00BC4686" w:rsidRPr="00E934FA">
              <w:t xml:space="preserve"> Das Vorsorgesparen würde ad absurdum geführt.</w:t>
            </w:r>
          </w:p>
          <w:p w:rsidR="006A64E5" w:rsidRPr="00E934FA" w:rsidRDefault="000225DF" w:rsidP="006A64E5">
            <w:r w:rsidRPr="00E934FA">
              <w:t xml:space="preserve">Der Gesetzgeber hat der Anlegerversammlung der Anlagestiftung mit Bezug auf die Anlagen weitgehende Autonomie eingeräumt (Art. 53i Abs. </w:t>
            </w:r>
            <w:r w:rsidR="00127DAD" w:rsidRPr="00E934FA">
              <w:t>1 BVG). Der geltende Art. 26 ASV verstösst damit gegen das Ge</w:t>
            </w:r>
            <w:r w:rsidR="008F3A89">
              <w:t>setz.</w:t>
            </w:r>
          </w:p>
          <w:p w:rsidR="008D645C" w:rsidRDefault="00127DAD" w:rsidP="00127DAD">
            <w:r w:rsidRPr="00E934FA">
              <w:t xml:space="preserve">Da die Anlagestiftungen gegenüber Vorsorgeeinrichtungen aus nicht nachvollziehbaren Gründen benachteiligt werden, liegt </w:t>
            </w:r>
            <w:r w:rsidR="00B04BE5" w:rsidRPr="00E934FA">
              <w:t xml:space="preserve">– ohne dass dafür die erforderliche gesetzliche </w:t>
            </w:r>
            <w:r w:rsidR="00B04BE5" w:rsidRPr="00266B77">
              <w:t xml:space="preserve">Grundlage bestünde – </w:t>
            </w:r>
            <w:r w:rsidRPr="00266B77">
              <w:t xml:space="preserve">ein </w:t>
            </w:r>
            <w:r w:rsidR="00B04BE5" w:rsidRPr="00266B77">
              <w:t xml:space="preserve">schwerer </w:t>
            </w:r>
            <w:r w:rsidRPr="00266B77">
              <w:t>Verstoss gegen das verfassungsmässige Recht der Gleichbehandlung vor. Die Bestimmung ist überdies unverhältnismässig.</w:t>
            </w:r>
          </w:p>
          <w:p w:rsidR="008D645C" w:rsidRPr="00E934FA" w:rsidRDefault="008D645C" w:rsidP="008D645C">
            <w:pPr>
              <w:pStyle w:val="ListeLemma1"/>
              <w:numPr>
                <w:ilvl w:val="0"/>
                <w:numId w:val="0"/>
              </w:numPr>
              <w:spacing w:after="120"/>
              <w:ind w:left="12"/>
              <w:rPr>
                <w:lang w:eastAsia="de-CH"/>
              </w:rPr>
            </w:pPr>
            <w:r>
              <w:rPr>
                <w:lang w:eastAsia="de-CH"/>
              </w:rPr>
              <w:t xml:space="preserve">Vgl. Abs. 1 </w:t>
            </w:r>
            <w:r w:rsidR="00E35D31">
              <w:rPr>
                <w:lang w:eastAsia="de-CH"/>
              </w:rPr>
              <w:t xml:space="preserve">und 2 </w:t>
            </w:r>
            <w:r>
              <w:rPr>
                <w:lang w:eastAsia="de-CH"/>
              </w:rPr>
              <w:t>des Vorschlags.</w:t>
            </w:r>
          </w:p>
          <w:p w:rsidR="00846ACB" w:rsidRPr="00E934FA" w:rsidRDefault="00846ACB" w:rsidP="00127DAD">
            <w:pPr>
              <w:rPr>
                <w:u w:val="single"/>
              </w:rPr>
            </w:pPr>
            <w:r w:rsidRPr="00E934FA">
              <w:rPr>
                <w:u w:val="single"/>
              </w:rPr>
              <w:t xml:space="preserve">Art. </w:t>
            </w:r>
            <w:r w:rsidR="00F46866" w:rsidRPr="00E934FA">
              <w:rPr>
                <w:u w:val="single"/>
              </w:rPr>
              <w:t>26 Abs. 6</w:t>
            </w:r>
            <w:r w:rsidRPr="00E934FA">
              <w:rPr>
                <w:u w:val="single"/>
              </w:rPr>
              <w:t xml:space="preserve"> (geltende Fassung):</w:t>
            </w:r>
          </w:p>
          <w:p w:rsidR="00F46866" w:rsidRDefault="00F46866" w:rsidP="00E63FAF">
            <w:r w:rsidRPr="00E934FA">
              <w:t xml:space="preserve">Wir schlagen vor, den Absatz um einen Zusatz zu ergänzen, wonach Kreditaufnahmen, die die Rückgabe von Ansprüchen der Anleger finanzieren, ebenfalls zugelassen sind, sofern sie innerhalb einer angemessenen </w:t>
            </w:r>
            <w:r w:rsidR="00B81C1E">
              <w:t>Frist wieder getilgt werden</w:t>
            </w:r>
            <w:r w:rsidRPr="00E934FA">
              <w:t>.</w:t>
            </w:r>
            <w:r w:rsidR="00E63FAF" w:rsidRPr="00E934FA">
              <w:t xml:space="preserve"> Diese Regelung gewährt der Anlagestiftung mehr Flexibilität und verhindert eine teure Vorratshaltung liquider Mittel, ohne dass dabei die Interessen der Anleger beeinträchtigt würden.</w:t>
            </w:r>
            <w:r w:rsidR="00B04BE5" w:rsidRPr="00E934FA">
              <w:t xml:space="preserve"> Auch das Fondsrecht sieht diese Möglichkeit vor</w:t>
            </w:r>
            <w:r w:rsidR="0094289E">
              <w:t>.</w:t>
            </w:r>
            <w:r w:rsidR="004B5732">
              <w:t xml:space="preserve"> Eine starre Frist wäre nicht sachgerecht, weil der Zeitraum, in welchem Anlagen in vernünftiger Weise veräussert werden können, stark von der jeweiligen Anlage abhängt (bspw.: bei illiquiden Anlagen wie Immobilien ist der Zeitraum naturgemäss viel länger als bei kotierten Beteiligungsrechten).</w:t>
            </w:r>
          </w:p>
          <w:p w:rsidR="0094289E" w:rsidRPr="00E934FA" w:rsidRDefault="0094289E" w:rsidP="0094289E">
            <w:pPr>
              <w:pStyle w:val="ListeLemma1"/>
              <w:numPr>
                <w:ilvl w:val="0"/>
                <w:numId w:val="0"/>
              </w:numPr>
              <w:spacing w:after="120"/>
              <w:ind w:left="12"/>
              <w:rPr>
                <w:lang w:eastAsia="de-CH"/>
              </w:rPr>
            </w:pPr>
            <w:r>
              <w:rPr>
                <w:lang w:eastAsia="de-CH"/>
              </w:rPr>
              <w:t xml:space="preserve">Vgl. Abs. </w:t>
            </w:r>
            <w:r w:rsidR="00484CAA">
              <w:rPr>
                <w:lang w:eastAsia="de-CH"/>
              </w:rPr>
              <w:t>4</w:t>
            </w:r>
            <w:r>
              <w:rPr>
                <w:lang w:eastAsia="de-CH"/>
              </w:rPr>
              <w:t xml:space="preserve"> </w:t>
            </w:r>
            <w:r w:rsidR="00B81C1E">
              <w:rPr>
                <w:lang w:eastAsia="de-CH"/>
              </w:rPr>
              <w:t xml:space="preserve">(zweiter Satz) </w:t>
            </w:r>
            <w:r>
              <w:rPr>
                <w:lang w:eastAsia="de-CH"/>
              </w:rPr>
              <w:t>des Vorschlags.</w:t>
            </w:r>
          </w:p>
          <w:p w:rsidR="00B667BF" w:rsidRPr="00E934FA" w:rsidRDefault="00B667BF" w:rsidP="00E63FAF">
            <w:r w:rsidRPr="00E934FA">
              <w:rPr>
                <w:u w:val="single"/>
              </w:rPr>
              <w:t>Art. 26 Abs. 7 (geltende Fassung):</w:t>
            </w:r>
          </w:p>
          <w:p w:rsidR="006A64E5" w:rsidRDefault="00A510DE" w:rsidP="00EA378B">
            <w:r w:rsidRPr="00E934FA">
              <w:t>Aus anlagetechnischen Gründen wird es in der Gründungsphase jeder Anlagegruppe, insbesondere bei Immobilienanlagegruppen</w:t>
            </w:r>
            <w:r w:rsidR="0059519F" w:rsidRPr="00E934FA">
              <w:t xml:space="preserve"> (wie auch bei den Immobilienfonds)</w:t>
            </w:r>
            <w:r w:rsidRPr="00E934FA">
              <w:t xml:space="preserve">, nicht möglich sein, die Anlagevorschriften </w:t>
            </w:r>
            <w:r w:rsidR="002A59BE" w:rsidRPr="00E934FA">
              <w:t xml:space="preserve">von Anfang an </w:t>
            </w:r>
            <w:r w:rsidRPr="00E934FA">
              <w:t xml:space="preserve">einzuhalten. </w:t>
            </w:r>
            <w:r w:rsidR="002A59BE" w:rsidRPr="00E934FA">
              <w:t xml:space="preserve">Sodann können Beschränkungen aufgrund von Marktveränderungen </w:t>
            </w:r>
            <w:r w:rsidR="0059519F" w:rsidRPr="00E934FA">
              <w:t xml:space="preserve">kurzfristig </w:t>
            </w:r>
            <w:r w:rsidR="002A59BE" w:rsidRPr="00E934FA">
              <w:t>überschritten werden. Eine temporäre Ausnahme von der Einhaltung der Anlagevorschriften in diesen Situationen entspricht</w:t>
            </w:r>
            <w:r w:rsidR="008C2270" w:rsidRPr="00E934FA">
              <w:t xml:space="preserve"> auch der Regelung</w:t>
            </w:r>
            <w:r w:rsidR="002A59BE" w:rsidRPr="00E934FA">
              <w:t xml:space="preserve"> bei schweizerischen kollektiven Kapitalanlagen (vgl. Art. 67 KKV)</w:t>
            </w:r>
            <w:r w:rsidR="00232D12" w:rsidRPr="00E934FA">
              <w:t>. Der Absatz ist dahe</w:t>
            </w:r>
            <w:r w:rsidR="00EA378B">
              <w:t>r entsprechend zu erweitern</w:t>
            </w:r>
            <w:r w:rsidR="00232D12" w:rsidRPr="00E934FA">
              <w:t>.</w:t>
            </w:r>
          </w:p>
          <w:p w:rsidR="00EA378B" w:rsidRPr="00E934FA" w:rsidRDefault="00EA378B" w:rsidP="00EA378B">
            <w:pPr>
              <w:pStyle w:val="ListeLemma1"/>
              <w:numPr>
                <w:ilvl w:val="0"/>
                <w:numId w:val="0"/>
              </w:numPr>
              <w:spacing w:after="120"/>
              <w:ind w:left="12"/>
              <w:rPr>
                <w:lang w:eastAsia="de-CH"/>
              </w:rPr>
            </w:pPr>
            <w:r>
              <w:rPr>
                <w:lang w:eastAsia="de-CH"/>
              </w:rPr>
              <w:t xml:space="preserve">Vgl. Abs. </w:t>
            </w:r>
            <w:r w:rsidR="00484CAA">
              <w:rPr>
                <w:lang w:eastAsia="de-CH"/>
              </w:rPr>
              <w:t>5</w:t>
            </w:r>
            <w:r>
              <w:rPr>
                <w:lang w:eastAsia="de-CH"/>
              </w:rPr>
              <w:t xml:space="preserve"> </w:t>
            </w:r>
            <w:r w:rsidR="009B731C">
              <w:rPr>
                <w:lang w:eastAsia="de-CH"/>
              </w:rPr>
              <w:t xml:space="preserve">und 6 </w:t>
            </w:r>
            <w:r>
              <w:rPr>
                <w:lang w:eastAsia="de-CH"/>
              </w:rPr>
              <w:t>des Vorschlags.</w:t>
            </w:r>
          </w:p>
        </w:tc>
      </w:tr>
      <w:tr w:rsidR="00860C2D" w:rsidRPr="00E934FA" w:rsidTr="00E432EB">
        <w:tc>
          <w:tcPr>
            <w:tcW w:w="4270" w:type="dxa"/>
          </w:tcPr>
          <w:p w:rsidR="003770C8" w:rsidRPr="00E934FA" w:rsidRDefault="003770C8" w:rsidP="00D360E4">
            <w:pPr>
              <w:ind w:left="851" w:hanging="851"/>
              <w:rPr>
                <w:b/>
              </w:rPr>
            </w:pPr>
            <w:r w:rsidRPr="00E934FA">
              <w:rPr>
                <w:b/>
              </w:rPr>
              <w:t xml:space="preserve">Art. 27 </w:t>
            </w:r>
            <w:r w:rsidR="00D360E4" w:rsidRPr="00E934FA">
              <w:rPr>
                <w:b/>
              </w:rPr>
              <w:tab/>
            </w:r>
            <w:r w:rsidRPr="00E934FA">
              <w:t>Immobilien-Anlagegruppen</w:t>
            </w:r>
          </w:p>
          <w:p w:rsidR="003770C8" w:rsidRPr="00E934FA" w:rsidRDefault="003770C8" w:rsidP="003770C8">
            <w:r w:rsidRPr="00E934FA">
              <w:rPr>
                <w:vertAlign w:val="superscript"/>
              </w:rPr>
              <w:t>1</w:t>
            </w:r>
            <w:r w:rsidR="00A464AE" w:rsidRPr="00E934FA">
              <w:t xml:space="preserve"> </w:t>
            </w:r>
            <w:r w:rsidRPr="00E934FA">
              <w:t>Folgende Anlagen von Immobilien-Anlagegruppen sind nur unter nachfolgenden</w:t>
            </w:r>
            <w:r w:rsidR="00A464AE" w:rsidRPr="00E934FA">
              <w:t xml:space="preserve"> </w:t>
            </w:r>
            <w:r w:rsidRPr="00E934FA">
              <w:t>Bedingungen zulässig:</w:t>
            </w:r>
          </w:p>
          <w:p w:rsidR="003770C8" w:rsidRPr="00E934FA" w:rsidRDefault="003770C8" w:rsidP="004820FE">
            <w:pPr>
              <w:pStyle w:val="Listenabsatz"/>
              <w:numPr>
                <w:ilvl w:val="0"/>
                <w:numId w:val="27"/>
              </w:numPr>
              <w:ind w:left="284" w:hanging="284"/>
            </w:pPr>
            <w:r w:rsidRPr="00E934FA">
              <w:t>unbebaute Grundstücke, sofern sie erschlossen sind und die Voraussetzungen</w:t>
            </w:r>
            <w:r w:rsidR="004820FE" w:rsidRPr="00E934FA">
              <w:t xml:space="preserve"> </w:t>
            </w:r>
            <w:r w:rsidRPr="00E934FA">
              <w:t>für eine umgehende Überbauung erfüllen;</w:t>
            </w:r>
          </w:p>
          <w:p w:rsidR="003770C8" w:rsidRPr="00E934FA" w:rsidRDefault="003770C8" w:rsidP="003770C8">
            <w:pPr>
              <w:pStyle w:val="Listenabsatz"/>
              <w:ind w:left="1069"/>
            </w:pPr>
          </w:p>
          <w:p w:rsidR="003770C8" w:rsidRPr="00E934FA" w:rsidRDefault="003770C8" w:rsidP="004820FE">
            <w:pPr>
              <w:pStyle w:val="Listenabsatz"/>
              <w:numPr>
                <w:ilvl w:val="0"/>
                <w:numId w:val="27"/>
              </w:numPr>
              <w:ind w:left="284" w:hanging="284"/>
            </w:pPr>
            <w:r w:rsidRPr="00E934FA">
              <w:t>Grundstücke in Miteigentum ohne Mehrheit der Miteigentumsanteile und</w:t>
            </w:r>
            <w:r w:rsidR="004820FE" w:rsidRPr="00E934FA">
              <w:t xml:space="preserve"> </w:t>
            </w:r>
            <w:r w:rsidRPr="00E934FA">
              <w:t>Stimmen, sofern deren Verkehrswert gesamthaft höchstens 30 Prozent des</w:t>
            </w:r>
            <w:r w:rsidR="004820FE" w:rsidRPr="00E934FA">
              <w:t xml:space="preserve"> </w:t>
            </w:r>
            <w:r w:rsidRPr="00E934FA">
              <w:t>Vermögens der Anlagegruppe beträgt;</w:t>
            </w:r>
          </w:p>
          <w:p w:rsidR="003770C8" w:rsidRPr="00E934FA" w:rsidRDefault="003770C8" w:rsidP="003770C8">
            <w:pPr>
              <w:pStyle w:val="Listenabsatz"/>
              <w:ind w:left="1069"/>
            </w:pPr>
          </w:p>
          <w:p w:rsidR="003770C8" w:rsidRPr="00E934FA" w:rsidRDefault="003770C8" w:rsidP="004820FE">
            <w:pPr>
              <w:pStyle w:val="Listenabsatz"/>
              <w:numPr>
                <w:ilvl w:val="0"/>
                <w:numId w:val="27"/>
              </w:numPr>
              <w:ind w:left="284" w:hanging="284"/>
            </w:pPr>
            <w:r w:rsidRPr="00E934FA">
              <w:t>kollektive Anlagen, sofern deren Zweck ausschliesslich dem Erwerb, dem</w:t>
            </w:r>
            <w:r w:rsidR="004820FE" w:rsidRPr="00E934FA">
              <w:t xml:space="preserve"> </w:t>
            </w:r>
            <w:r w:rsidRPr="00E934FA">
              <w:t>Verkauf, der Über</w:t>
            </w:r>
            <w:r w:rsidR="004820FE" w:rsidRPr="00E934FA">
              <w:t xml:space="preserve">bauung, der Vermietung oder der </w:t>
            </w:r>
            <w:r w:rsidRPr="00E934FA">
              <w:t>Verpachtung von eigenen</w:t>
            </w:r>
            <w:r w:rsidR="004820FE" w:rsidRPr="00E934FA">
              <w:t xml:space="preserve"> </w:t>
            </w:r>
            <w:r w:rsidRPr="00E934FA">
              <w:t>Grundstücken dient;</w:t>
            </w:r>
          </w:p>
          <w:p w:rsidR="003770C8" w:rsidRPr="00E934FA" w:rsidRDefault="003770C8" w:rsidP="003770C8">
            <w:pPr>
              <w:pStyle w:val="Listenabsatz"/>
              <w:ind w:left="1069"/>
            </w:pPr>
          </w:p>
          <w:p w:rsidR="005F2354" w:rsidRPr="00E934FA" w:rsidRDefault="003770C8" w:rsidP="005F2354">
            <w:pPr>
              <w:pStyle w:val="Listenabsatz"/>
              <w:numPr>
                <w:ilvl w:val="0"/>
                <w:numId w:val="27"/>
              </w:numPr>
              <w:ind w:left="284" w:hanging="284"/>
            </w:pPr>
            <w:r w:rsidRPr="00E934FA">
              <w:t>Grundstücke im Ausland in baurechtsähnlicher Form, sofern sie übertragbar</w:t>
            </w:r>
            <w:r w:rsidR="004820FE" w:rsidRPr="00E934FA">
              <w:t xml:space="preserve"> </w:t>
            </w:r>
            <w:r w:rsidRPr="00E934FA">
              <w:t>und registrierbar sind.</w:t>
            </w:r>
          </w:p>
          <w:p w:rsidR="005F2354" w:rsidRPr="00E934FA" w:rsidRDefault="005F2354" w:rsidP="005F2354">
            <w:pPr>
              <w:pStyle w:val="Listenabsatz"/>
            </w:pPr>
          </w:p>
          <w:p w:rsidR="0011083C" w:rsidRDefault="007C1CFE" w:rsidP="0011083C">
            <w:r w:rsidRPr="007C1CFE">
              <w:rPr>
                <w:vertAlign w:val="superscript"/>
              </w:rPr>
              <w:t>2</w:t>
            </w:r>
            <w:r>
              <w:t xml:space="preserve"> Soweit es der Anlagefokus der Anlagegruppe zulässt, sind die Anlagen angemessen nach Regionen, Lagen und Nutzungsarten zu verteilen.</w:t>
            </w:r>
          </w:p>
          <w:p w:rsidR="0011083C" w:rsidRPr="0011083C" w:rsidRDefault="0011083C" w:rsidP="0011083C">
            <w:r w:rsidRPr="0011083C">
              <w:rPr>
                <w:vertAlign w:val="superscript"/>
              </w:rPr>
              <w:t>3</w:t>
            </w:r>
            <w:r>
              <w:t xml:space="preserve"> </w:t>
            </w:r>
            <w:r w:rsidRPr="0011083C">
              <w:t>Ausser bei Anlagegruppen mit ausschliesslicher Anlage in Bauprojekte dürfen Bauland, angefangene Bauten sowie sanierungsbedürftige Objekte gesamthaft höchstens 30 Prozent des Vermögens der Anlagegruppe betragen.</w:t>
            </w:r>
          </w:p>
          <w:p w:rsidR="00D6030C" w:rsidRPr="00E934FA" w:rsidRDefault="005F2354" w:rsidP="00D6030C">
            <w:r w:rsidRPr="00E934FA">
              <w:rPr>
                <w:vertAlign w:val="superscript"/>
              </w:rPr>
              <w:t>4</w:t>
            </w:r>
            <w:r w:rsidRPr="00E934FA">
              <w:t xml:space="preserve"> Der Verkehrswert eines Grundstücks darf höchstens 15 Prozent des Vermögens der Anlagegruppe betragen. Siedlungen, die nach den gleichen baulichen Grundsätzen erstellt worden sind, sowie aneinandergrenzende Parzellen gelten als ein einziges Grundstück.</w:t>
            </w:r>
          </w:p>
          <w:p w:rsidR="00D6030C" w:rsidRPr="00E934FA" w:rsidRDefault="00D6030C" w:rsidP="00D6030C">
            <w:r w:rsidRPr="00E934FA">
              <w:rPr>
                <w:vertAlign w:val="superscript"/>
              </w:rPr>
              <w:t>5</w:t>
            </w:r>
            <w:r w:rsidRPr="00E934FA">
              <w:t xml:space="preserve"> Die Belehnung von Grundstücken ist zulässig. Die Belehnungsquote darf jedoch im Durchschnitt aller Grundstücke, die von einer Anlagegruppe direkt, über Tochtergesellschaften nach Artikel 33 oder in kollektiven Anlagen gehalten werden, ein Drittel des Verkehrswerts der Grundstücke nicht überschreiten.</w:t>
            </w:r>
          </w:p>
          <w:p w:rsidR="00D6030C" w:rsidRPr="00E934FA" w:rsidRDefault="00D6030C" w:rsidP="00D6030C">
            <w:r w:rsidRPr="00E934FA">
              <w:rPr>
                <w:vertAlign w:val="superscript"/>
              </w:rPr>
              <w:t>6</w:t>
            </w:r>
            <w:r w:rsidRPr="00E934FA">
              <w:t xml:space="preserve"> Die Belehnungsquote kann ausnahmsweise und vorübergehend auf 50 Prozent erhöht werden, wenn dies:</w:t>
            </w:r>
          </w:p>
          <w:p w:rsidR="008846E5" w:rsidRDefault="00D6030C" w:rsidP="008846E5">
            <w:pPr>
              <w:ind w:left="284" w:hanging="284"/>
            </w:pPr>
            <w:r w:rsidRPr="00E934FA">
              <w:t xml:space="preserve">a. </w:t>
            </w:r>
            <w:r w:rsidR="008846E5">
              <w:tab/>
            </w:r>
            <w:r w:rsidRPr="00E934FA">
              <w:t>im Reglement oder in publizierten Spezialreglementen vorgesehen ist;</w:t>
            </w:r>
          </w:p>
          <w:p w:rsidR="008846E5" w:rsidRDefault="008846E5" w:rsidP="008846E5">
            <w:pPr>
              <w:ind w:left="284" w:hanging="284"/>
            </w:pPr>
            <w:r>
              <w:t>b.</w:t>
            </w:r>
            <w:r>
              <w:tab/>
            </w:r>
            <w:r w:rsidR="00D6030C" w:rsidRPr="00E934FA">
              <w:t>zur Wahrung der L</w:t>
            </w:r>
            <w:r>
              <w:t>iquidität erforderlich ist; und</w:t>
            </w:r>
          </w:p>
          <w:p w:rsidR="00D6030C" w:rsidRPr="00E934FA" w:rsidRDefault="008846E5" w:rsidP="008846E5">
            <w:pPr>
              <w:ind w:left="284" w:hanging="284"/>
            </w:pPr>
            <w:r>
              <w:t>c.</w:t>
            </w:r>
            <w:r>
              <w:tab/>
            </w:r>
            <w:r w:rsidR="00D6030C" w:rsidRPr="00E934FA">
              <w:t>im Interesse der Anlegerinnen und Anleger liegt.</w:t>
            </w:r>
          </w:p>
          <w:p w:rsidR="00D6030C" w:rsidRPr="00E934FA" w:rsidRDefault="00D6030C" w:rsidP="00D6030C">
            <w:r w:rsidRPr="00E934FA">
              <w:rPr>
                <w:vertAlign w:val="superscript"/>
              </w:rPr>
              <w:t xml:space="preserve">7 </w:t>
            </w:r>
            <w:r w:rsidRPr="00E934FA">
              <w:t>Der Wert der kollektiven Anlagen, die eine Belehnungsquote von 50 Prozent überschreiten, darf höchstens 20 Prozent des Vermögens der Anlagegruppe betragen.</w:t>
            </w:r>
          </w:p>
        </w:tc>
        <w:tc>
          <w:tcPr>
            <w:tcW w:w="4303" w:type="dxa"/>
          </w:tcPr>
          <w:p w:rsidR="00860C2D" w:rsidRPr="00E934FA" w:rsidRDefault="00715E72" w:rsidP="001E7B90">
            <w:pPr>
              <w:ind w:left="833" w:hanging="833"/>
            </w:pPr>
            <w:r w:rsidRPr="00E934FA">
              <w:rPr>
                <w:b/>
              </w:rPr>
              <w:t xml:space="preserve">Art. 27 </w:t>
            </w:r>
            <w:r w:rsidR="001E7B90" w:rsidRPr="00E934FA">
              <w:rPr>
                <w:b/>
              </w:rPr>
              <w:tab/>
            </w:r>
            <w:r w:rsidRPr="00E934FA">
              <w:t>Immobilien-Anlagegruppen</w:t>
            </w:r>
          </w:p>
          <w:p w:rsidR="004D4A5E" w:rsidRPr="00506724" w:rsidRDefault="005E23C6" w:rsidP="001252B1">
            <w:r w:rsidRPr="00E934FA">
              <w:rPr>
                <w:vertAlign w:val="superscript"/>
              </w:rPr>
              <w:t xml:space="preserve">1 </w:t>
            </w:r>
            <w:r w:rsidRPr="00E934FA">
              <w:t xml:space="preserve">Für Immobilien-Anlagegruppen gelten die Bestimmungen von Artikel 53 Abs. 1 lit. c und Abs. 2 </w:t>
            </w:r>
            <w:r w:rsidR="00B14B3A" w:rsidRPr="00E934FA">
              <w:t xml:space="preserve">BVV 2 </w:t>
            </w:r>
            <w:r w:rsidR="00506724">
              <w:t>sinngemäss.</w:t>
            </w:r>
          </w:p>
          <w:p w:rsidR="004D4A5E" w:rsidRPr="00E934FA" w:rsidRDefault="002C4A0D" w:rsidP="001252B1">
            <w:pPr>
              <w:rPr>
                <w:vertAlign w:val="superscript"/>
              </w:rPr>
            </w:pPr>
            <w:r>
              <w:rPr>
                <w:vertAlign w:val="superscript"/>
              </w:rPr>
              <w:t>2</w:t>
            </w:r>
            <w:r w:rsidR="004D4A5E" w:rsidRPr="00E934FA">
              <w:t xml:space="preserve"> </w:t>
            </w:r>
            <w:r w:rsidR="00D6030C" w:rsidRPr="00E934FA">
              <w:t>Übersteigt d</w:t>
            </w:r>
            <w:r w:rsidR="004D4A5E" w:rsidRPr="00E934FA">
              <w:t>er Verkehrswert eines Grundstücks 15 Prozent des Vermögens der</w:t>
            </w:r>
            <w:r w:rsidR="008D38D0" w:rsidRPr="00E934FA">
              <w:t xml:space="preserve"> </w:t>
            </w:r>
            <w:r w:rsidR="004D4A5E" w:rsidRPr="00E934FA">
              <w:t>Anlagegruppe</w:t>
            </w:r>
            <w:r w:rsidR="00D6030C" w:rsidRPr="00E934FA">
              <w:t>, so sind die Risiken dieser Konzentration für die Anlagegruppe im Geschäftsbericht gesondert zu beschreiben</w:t>
            </w:r>
            <w:r w:rsidR="004D4A5E" w:rsidRPr="00E934FA">
              <w:t>. Siedlungen, die nach</w:t>
            </w:r>
            <w:r w:rsidR="008D38D0" w:rsidRPr="00E934FA">
              <w:t xml:space="preserve"> </w:t>
            </w:r>
            <w:r w:rsidR="004D4A5E" w:rsidRPr="00E934FA">
              <w:t xml:space="preserve">den gleichen baulichen Grundsätzen </w:t>
            </w:r>
            <w:r w:rsidR="008D38D0" w:rsidRPr="00E934FA">
              <w:t xml:space="preserve">erstellt </w:t>
            </w:r>
            <w:r w:rsidR="004D4A5E" w:rsidRPr="00E934FA">
              <w:t>worden sind</w:t>
            </w:r>
            <w:r w:rsidR="00843543" w:rsidRPr="00E934FA">
              <w:t xml:space="preserve"> und in einem engen räumlichen Zusammenhang stehen</w:t>
            </w:r>
            <w:r w:rsidR="004D4A5E" w:rsidRPr="00E934FA">
              <w:t>, sowie aneinandergrenzende</w:t>
            </w:r>
            <w:r w:rsidR="008D38D0" w:rsidRPr="00E934FA">
              <w:t xml:space="preserve"> </w:t>
            </w:r>
            <w:r w:rsidR="004D4A5E" w:rsidRPr="00E934FA">
              <w:t>Parzellen gelten als ein einziges Grundstück.</w:t>
            </w:r>
          </w:p>
          <w:p w:rsidR="005E23C6" w:rsidRPr="00E934FA" w:rsidRDefault="002C4A0D" w:rsidP="001252B1">
            <w:r>
              <w:rPr>
                <w:vertAlign w:val="superscript"/>
              </w:rPr>
              <w:t>3</w:t>
            </w:r>
            <w:r w:rsidR="005E23C6" w:rsidRPr="00E934FA">
              <w:rPr>
                <w:vertAlign w:val="superscript"/>
              </w:rPr>
              <w:t xml:space="preserve"> </w:t>
            </w:r>
            <w:r w:rsidR="005E23C6" w:rsidRPr="00E934FA">
              <w:t>Die Belehnung von Grundstücken ist zulässig. Die Belehnungsquote darf jedoch im Durchschnitt aller Grundstücke, die von einer Anlagegruppe direkt, über Tochtergesellschaften</w:t>
            </w:r>
            <w:r w:rsidR="00316CD7" w:rsidRPr="00E934FA">
              <w:t xml:space="preserve"> nach Artikel 33 und</w:t>
            </w:r>
            <w:r w:rsidR="005E23C6" w:rsidRPr="00E934FA">
              <w:t xml:space="preserve"> in kollektiven Anlagen gehalten werden, 50 Prozent des Verkehrswertes der Grundstücke nicht über</w:t>
            </w:r>
            <w:r w:rsidR="008E6D5D">
              <w:t>schreiten.</w:t>
            </w:r>
            <w:r w:rsidR="005E23C6" w:rsidRPr="00E934FA">
              <w:t xml:space="preserve"> </w:t>
            </w:r>
          </w:p>
          <w:p w:rsidR="00A06F2F" w:rsidRPr="00E934FA" w:rsidRDefault="00662475" w:rsidP="001252B1">
            <w:pPr>
              <w:rPr>
                <w:i/>
              </w:rPr>
            </w:pPr>
            <w:r w:rsidRPr="00E934FA">
              <w:rPr>
                <w:i/>
              </w:rPr>
              <w:t xml:space="preserve">[Absatz </w:t>
            </w:r>
            <w:r w:rsidR="00A06F2F" w:rsidRPr="00E934FA">
              <w:rPr>
                <w:i/>
              </w:rPr>
              <w:t xml:space="preserve">7 </w:t>
            </w:r>
            <w:r w:rsidR="008E6D5D" w:rsidRPr="00E934FA">
              <w:rPr>
                <w:i/>
              </w:rPr>
              <w:t>unverändert</w:t>
            </w:r>
            <w:r w:rsidR="008E6D5D">
              <w:rPr>
                <w:i/>
              </w:rPr>
              <w:t xml:space="preserve"> als neuer Absa</w:t>
            </w:r>
            <w:r w:rsidR="007B4A09">
              <w:rPr>
                <w:i/>
              </w:rPr>
              <w:t xml:space="preserve">tz </w:t>
            </w:r>
            <w:r w:rsidR="002C4A0D">
              <w:rPr>
                <w:i/>
              </w:rPr>
              <w:t>4</w:t>
            </w:r>
            <w:r w:rsidR="008E6D5D">
              <w:rPr>
                <w:i/>
              </w:rPr>
              <w:t>]</w:t>
            </w:r>
          </w:p>
        </w:tc>
        <w:tc>
          <w:tcPr>
            <w:tcW w:w="5079" w:type="dxa"/>
          </w:tcPr>
          <w:p w:rsidR="00A56704" w:rsidRPr="00E07B37" w:rsidRDefault="00A56704" w:rsidP="002523AB">
            <w:pPr>
              <w:rPr>
                <w:u w:val="single"/>
              </w:rPr>
            </w:pPr>
            <w:r w:rsidRPr="00E07B37">
              <w:rPr>
                <w:u w:val="single"/>
              </w:rPr>
              <w:t>Im Allgemeinen</w:t>
            </w:r>
            <w:r w:rsidR="008C7CF5" w:rsidRPr="00E07B37">
              <w:rPr>
                <w:u w:val="single"/>
              </w:rPr>
              <w:t>:</w:t>
            </w:r>
          </w:p>
          <w:p w:rsidR="00362DB4" w:rsidRPr="00E07B37" w:rsidRDefault="00435DE4" w:rsidP="002523AB">
            <w:r w:rsidRPr="00E07B37">
              <w:t xml:space="preserve">Da die </w:t>
            </w:r>
            <w:r w:rsidR="00D05888" w:rsidRPr="00E07B37">
              <w:t>Immobilienanlagen bereits in der BVV 2 hin</w:t>
            </w:r>
            <w:r w:rsidR="00285313" w:rsidRPr="00E07B37">
              <w:t xml:space="preserve">reichend geregelt </w:t>
            </w:r>
            <w:r w:rsidRPr="00E07B37">
              <w:t xml:space="preserve">sind </w:t>
            </w:r>
            <w:r w:rsidR="00D05888" w:rsidRPr="00E07B37">
              <w:t xml:space="preserve">(vgl. Art. 53 Abs. 1 lit. c, Art. 54b, Art. 55 lit. </w:t>
            </w:r>
            <w:r w:rsidRPr="00E07B37">
              <w:t xml:space="preserve">a und c BVV 2), handelt es sich um eine sachlich nicht gerechtfertigte </w:t>
            </w:r>
            <w:r w:rsidR="00362DB4" w:rsidRPr="00E07B37">
              <w:t xml:space="preserve">und unverhältnismässige </w:t>
            </w:r>
            <w:r w:rsidR="00D60F60">
              <w:t>R</w:t>
            </w:r>
            <w:r w:rsidRPr="00E07B37">
              <w:t>egulierung.</w:t>
            </w:r>
            <w:r w:rsidR="00362DB4" w:rsidRPr="00E07B37">
              <w:t xml:space="preserve"> </w:t>
            </w:r>
          </w:p>
          <w:p w:rsidR="00362DB4" w:rsidRPr="00E07B37" w:rsidRDefault="00D60F60" w:rsidP="002523AB">
            <w:r>
              <w:t>Es ist verfehlt</w:t>
            </w:r>
            <w:r w:rsidR="00362DB4" w:rsidRPr="00E07B37">
              <w:t xml:space="preserve">, die Anlagestiftung (als Selbsthilfeorganisation von institutionellen Anlegern) restriktiveren Regeln als ihren Anlegern zu unterwerfen. </w:t>
            </w:r>
            <w:r w:rsidR="004C5D15" w:rsidRPr="00E07B37">
              <w:t xml:space="preserve">Die Bestimmung von Art. 27 ASV verletzt </w:t>
            </w:r>
            <w:r w:rsidR="00502F8D" w:rsidRPr="00E07B37">
              <w:t>das verfassungsmässige Gleichbehandlungs</w:t>
            </w:r>
            <w:r w:rsidR="004C5D15" w:rsidRPr="00E07B37">
              <w:t>gebot</w:t>
            </w:r>
            <w:r w:rsidR="00285313" w:rsidRPr="00E07B37">
              <w:t xml:space="preserve">. </w:t>
            </w:r>
          </w:p>
          <w:p w:rsidR="00860C2D" w:rsidRPr="00E07B37" w:rsidRDefault="004C5D15" w:rsidP="002523AB">
            <w:r w:rsidRPr="00E07B37">
              <w:t xml:space="preserve">Die Bestimmung hält sich sodann nicht an den von Art. </w:t>
            </w:r>
            <w:r w:rsidR="00D71B00" w:rsidRPr="00E07B37">
              <w:t>53g ff. </w:t>
            </w:r>
            <w:r w:rsidRPr="00E07B37">
              <w:t>BVG f</w:t>
            </w:r>
            <w:r w:rsidR="00435DE4" w:rsidRPr="00E07B37">
              <w:t>estgelegten gesetzlichen Rahmen.</w:t>
            </w:r>
          </w:p>
          <w:p w:rsidR="00EE33EE" w:rsidRPr="00E07B37" w:rsidRDefault="003425AA" w:rsidP="002523AB">
            <w:pPr>
              <w:rPr>
                <w:u w:val="single"/>
              </w:rPr>
            </w:pPr>
            <w:r w:rsidRPr="00E07B37">
              <w:rPr>
                <w:u w:val="single"/>
              </w:rPr>
              <w:t>Art. 27 Abs. 1</w:t>
            </w:r>
            <w:r w:rsidR="002C4A0D" w:rsidRPr="00E07B37">
              <w:rPr>
                <w:u w:val="single"/>
              </w:rPr>
              <w:t>–3</w:t>
            </w:r>
            <w:r w:rsidRPr="00E07B37">
              <w:rPr>
                <w:u w:val="single"/>
              </w:rPr>
              <w:t xml:space="preserve"> </w:t>
            </w:r>
            <w:r w:rsidR="002C4A0D" w:rsidRPr="00E07B37">
              <w:rPr>
                <w:u w:val="single"/>
              </w:rPr>
              <w:t>(geltende Fassung</w:t>
            </w:r>
            <w:r w:rsidR="00EE33EE" w:rsidRPr="00E07B37">
              <w:rPr>
                <w:u w:val="single"/>
              </w:rPr>
              <w:t>):</w:t>
            </w:r>
          </w:p>
          <w:p w:rsidR="00B3747F" w:rsidRPr="00E07B37" w:rsidRDefault="00AB171A" w:rsidP="00AB171A">
            <w:r w:rsidRPr="00E07B37">
              <w:t>Di</w:t>
            </w:r>
            <w:r w:rsidR="002C4A0D" w:rsidRPr="00E07B37">
              <w:t>e vorgeschlagene Regelung sieht</w:t>
            </w:r>
            <w:r w:rsidR="00DC1B3C" w:rsidRPr="00E07B37">
              <w:t xml:space="preserve"> –</w:t>
            </w:r>
            <w:r w:rsidR="002C4A0D" w:rsidRPr="00E07B37">
              <w:t xml:space="preserve"> entsprechend der voranstehend</w:t>
            </w:r>
            <w:r w:rsidR="00DC1B3C" w:rsidRPr="00E07B37">
              <w:t xml:space="preserve"> geäusserten Kritik –</w:t>
            </w:r>
            <w:r w:rsidR="002C4A0D" w:rsidRPr="00E07B37">
              <w:t xml:space="preserve"> </w:t>
            </w:r>
            <w:r w:rsidRPr="00E07B37">
              <w:t>eine Anlehnung an die B</w:t>
            </w:r>
            <w:r w:rsidR="003425AA" w:rsidRPr="00E07B37">
              <w:t>estimmungen der BVV 2 vor.</w:t>
            </w:r>
          </w:p>
          <w:p w:rsidR="00235178" w:rsidRPr="00E07B37" w:rsidRDefault="00235178" w:rsidP="00AB171A">
            <w:r w:rsidRPr="00E07B37">
              <w:t>Vgl. Abs. 1 des Vorschlags</w:t>
            </w:r>
            <w:r w:rsidR="002A1A8C" w:rsidRPr="00E07B37">
              <w:t>.</w:t>
            </w:r>
          </w:p>
          <w:p w:rsidR="003425AA" w:rsidRPr="00E07B37" w:rsidRDefault="003425AA" w:rsidP="00AB171A">
            <w:pPr>
              <w:rPr>
                <w:u w:val="single"/>
              </w:rPr>
            </w:pPr>
            <w:r w:rsidRPr="00E07B37">
              <w:rPr>
                <w:u w:val="single"/>
              </w:rPr>
              <w:t xml:space="preserve">Art. 27 Abs. </w:t>
            </w:r>
            <w:r w:rsidR="00185D1C" w:rsidRPr="00E07B37">
              <w:rPr>
                <w:u w:val="single"/>
              </w:rPr>
              <w:t>4</w:t>
            </w:r>
            <w:r w:rsidRPr="00E07B37">
              <w:rPr>
                <w:u w:val="single"/>
              </w:rPr>
              <w:t xml:space="preserve"> (</w:t>
            </w:r>
            <w:r w:rsidR="00185D1C" w:rsidRPr="00E07B37">
              <w:rPr>
                <w:u w:val="single"/>
              </w:rPr>
              <w:t>geltende Fassung</w:t>
            </w:r>
            <w:r w:rsidRPr="00E07B37">
              <w:rPr>
                <w:u w:val="single"/>
              </w:rPr>
              <w:t>):</w:t>
            </w:r>
          </w:p>
          <w:p w:rsidR="00C041B8" w:rsidRPr="00E07B37" w:rsidRDefault="0062720E" w:rsidP="00AB171A">
            <w:r w:rsidRPr="00E07B37">
              <w:t>Die Quote von 15 Prozent ist zu tief angesetzt und behindert die Anlagestiftung in ihrer Anlagetätigkeit in unverhältnismässiger Weise. Es ist ausreichend, wenn ab einer gewissen Schwelle Transparenzpflichten greifen.</w:t>
            </w:r>
          </w:p>
          <w:p w:rsidR="00166A28" w:rsidRPr="00E07B37" w:rsidRDefault="00166A28" w:rsidP="00AB171A">
            <w:r w:rsidRPr="00E07B37">
              <w:t>Vgl. Abs. 4 des Vorschlags</w:t>
            </w:r>
            <w:r w:rsidR="002A1A8C" w:rsidRPr="00E07B37">
              <w:t>.</w:t>
            </w:r>
          </w:p>
          <w:p w:rsidR="00C041B8" w:rsidRPr="00E07B37" w:rsidRDefault="00C041B8" w:rsidP="00AB171A">
            <w:pPr>
              <w:rPr>
                <w:u w:val="single"/>
              </w:rPr>
            </w:pPr>
            <w:r w:rsidRPr="00E07B37">
              <w:rPr>
                <w:u w:val="single"/>
              </w:rPr>
              <w:t xml:space="preserve">Art. 27 Abs. 5 </w:t>
            </w:r>
            <w:r w:rsidR="0062720E" w:rsidRPr="00E07B37">
              <w:rPr>
                <w:u w:val="single"/>
              </w:rPr>
              <w:t>und 6 (geltende Fassung</w:t>
            </w:r>
            <w:r w:rsidRPr="00E07B37">
              <w:rPr>
                <w:u w:val="single"/>
              </w:rPr>
              <w:t>):</w:t>
            </w:r>
          </w:p>
          <w:p w:rsidR="000768D4" w:rsidRDefault="00FD3FF5" w:rsidP="00AB171A">
            <w:r w:rsidRPr="00E07B37">
              <w:t xml:space="preserve">Eine Reduktion der Belehnungsquote </w:t>
            </w:r>
            <w:r w:rsidR="000768D4">
              <w:t xml:space="preserve">von 50 Prozent </w:t>
            </w:r>
            <w:r w:rsidRPr="00E07B37">
              <w:t>auf einen</w:t>
            </w:r>
            <w:r w:rsidR="00662475" w:rsidRPr="00E07B37">
              <w:t xml:space="preserve"> Drittel des Verkehrswertes der </w:t>
            </w:r>
            <w:r w:rsidRPr="00E07B37">
              <w:t>Grundstücke – wie sie am 6. Juni 2014 (in Kraft seit 1. Juli</w:t>
            </w:r>
            <w:r w:rsidR="000768D4">
              <w:t xml:space="preserve"> 2014) eingeführt wurde – stellt eine einschneidende Massnahme für die Anlagestiftungen </w:t>
            </w:r>
            <w:r w:rsidR="0078259C">
              <w:t xml:space="preserve">und ihre Anleger </w:t>
            </w:r>
            <w:r w:rsidR="000768D4">
              <w:t xml:space="preserve">dar, </w:t>
            </w:r>
            <w:r w:rsidR="0078259C">
              <w:t>welche</w:t>
            </w:r>
            <w:r w:rsidR="000768D4">
              <w:t xml:space="preserve"> einer ausreichenden Rechtfertigung </w:t>
            </w:r>
            <w:r w:rsidR="0078259C">
              <w:t xml:space="preserve">und Grundlage </w:t>
            </w:r>
            <w:r w:rsidR="000768D4">
              <w:t>entbehrt</w:t>
            </w:r>
            <w:r w:rsidRPr="00E07B37">
              <w:t>.</w:t>
            </w:r>
            <w:r w:rsidR="00F82DA4">
              <w:t xml:space="preserve"> </w:t>
            </w:r>
            <w:r w:rsidR="008A1969">
              <w:t>Die Anlagevorschriften der ASV</w:t>
            </w:r>
            <w:r w:rsidR="0078259C">
              <w:t>, die den einzigen Zweck des Schutzes der Anleger haben,</w:t>
            </w:r>
            <w:r w:rsidR="008A1969">
              <w:t xml:space="preserve"> dürfen </w:t>
            </w:r>
            <w:r w:rsidR="0078259C">
              <w:t xml:space="preserve">sodann </w:t>
            </w:r>
            <w:r w:rsidR="008A1969">
              <w:t>nicht dazu verwendet werden,</w:t>
            </w:r>
            <w:r w:rsidR="0078259C">
              <w:t xml:space="preserve"> Wirtschaftspolitik zu betreiben und marktspezifischen Befürchtungen (Immobilienblase) entgegenzusteuern. </w:t>
            </w:r>
            <w:r w:rsidR="00BB2B4D">
              <w:t>.</w:t>
            </w:r>
          </w:p>
          <w:p w:rsidR="00E07B37" w:rsidRDefault="000768D4" w:rsidP="00AB171A">
            <w:r>
              <w:t>Die jetzige Quote ist zu tief bemessen und behindert die Anlagestiftung in ihrer Anlagetätigkeit in ungerechtfertigter Weise.</w:t>
            </w:r>
            <w:r w:rsidR="00FD3FF5" w:rsidRPr="00E07B37">
              <w:t xml:space="preserve"> Eine solch tiefe Quote verhindert eine angemessene Bereitstellung von Liquidität im Falle von Rücknahmen und fördert damit das Risiko, dass eine Stiftung Notverkäufe bei Immobilien tätigen muss, welche bekanntlich nur mit höheren Verlusten möglich sind</w:t>
            </w:r>
            <w:r w:rsidR="00E07B37">
              <w:t>.</w:t>
            </w:r>
            <w:r w:rsidR="005D161B" w:rsidRPr="00E07B37">
              <w:t xml:space="preserve"> Bei der Belehnung von Grundstücken soll die Anlagestiftung ein vernünftiges Mass an Flexibilität</w:t>
            </w:r>
            <w:r w:rsidR="005D161B">
              <w:t xml:space="preserve"> haben</w:t>
            </w:r>
            <w:r w:rsidR="005D161B" w:rsidRPr="00E07B37">
              <w:t>.</w:t>
            </w:r>
          </w:p>
          <w:p w:rsidR="00C041B8" w:rsidRPr="00E07B37" w:rsidRDefault="00E07B37" w:rsidP="00AB171A">
            <w:r w:rsidRPr="00E07B37">
              <w:t xml:space="preserve">Vgl. Abs. </w:t>
            </w:r>
            <w:r>
              <w:t>5</w:t>
            </w:r>
            <w:r w:rsidRPr="00E07B37">
              <w:t xml:space="preserve"> des Vorschlags.</w:t>
            </w:r>
          </w:p>
        </w:tc>
      </w:tr>
      <w:tr w:rsidR="0007589E" w:rsidRPr="00E934FA" w:rsidTr="00E432EB">
        <w:tc>
          <w:tcPr>
            <w:tcW w:w="4270" w:type="dxa"/>
          </w:tcPr>
          <w:p w:rsidR="0007589E" w:rsidRPr="00E934FA" w:rsidRDefault="0007589E" w:rsidP="00D360E4">
            <w:pPr>
              <w:pStyle w:val="Listenabsatz"/>
              <w:ind w:left="851" w:hanging="851"/>
            </w:pPr>
            <w:r w:rsidRPr="00E934FA">
              <w:rPr>
                <w:b/>
              </w:rPr>
              <w:t>Art. 28</w:t>
            </w:r>
            <w:r w:rsidRPr="00E934FA">
              <w:t xml:space="preserve"> </w:t>
            </w:r>
            <w:r w:rsidR="00D360E4" w:rsidRPr="00E934FA">
              <w:tab/>
            </w:r>
            <w:r w:rsidRPr="00E934FA">
              <w:t xml:space="preserve">Anlagegruppen im </w:t>
            </w:r>
            <w:r w:rsidR="004C5C09" w:rsidRPr="00E934FA">
              <w:t xml:space="preserve">Bereich </w:t>
            </w:r>
            <w:r w:rsidRPr="00E934FA">
              <w:t>alternativer Anlagen</w:t>
            </w:r>
          </w:p>
          <w:p w:rsidR="004820FE" w:rsidRPr="00E934FA" w:rsidRDefault="004820FE" w:rsidP="003770C8">
            <w:pPr>
              <w:pStyle w:val="Listenabsatz"/>
              <w:ind w:left="0"/>
            </w:pPr>
          </w:p>
        </w:tc>
        <w:tc>
          <w:tcPr>
            <w:tcW w:w="4303" w:type="dxa"/>
          </w:tcPr>
          <w:p w:rsidR="0007589E" w:rsidRPr="00E934FA" w:rsidRDefault="0007589E" w:rsidP="003770C8">
            <w:pPr>
              <w:pStyle w:val="Listenabsatz"/>
              <w:ind w:left="0"/>
              <w:rPr>
                <w:i/>
              </w:rPr>
            </w:pPr>
            <w:r w:rsidRPr="00E934FA">
              <w:rPr>
                <w:i/>
              </w:rPr>
              <w:t>[Keine Änderungen]</w:t>
            </w:r>
          </w:p>
        </w:tc>
        <w:tc>
          <w:tcPr>
            <w:tcW w:w="5079" w:type="dxa"/>
          </w:tcPr>
          <w:p w:rsidR="0007589E" w:rsidRPr="00E934FA" w:rsidRDefault="0007589E" w:rsidP="001252B1"/>
        </w:tc>
      </w:tr>
      <w:tr w:rsidR="00860C2D" w:rsidRPr="00E934FA" w:rsidTr="00E432EB">
        <w:tc>
          <w:tcPr>
            <w:tcW w:w="4270" w:type="dxa"/>
          </w:tcPr>
          <w:p w:rsidR="003770C8" w:rsidRPr="00E934FA" w:rsidRDefault="003770C8" w:rsidP="00D360E4">
            <w:pPr>
              <w:pStyle w:val="Listenabsatz"/>
              <w:ind w:left="851" w:hanging="851"/>
            </w:pPr>
            <w:r w:rsidRPr="00E934FA">
              <w:rPr>
                <w:b/>
              </w:rPr>
              <w:t xml:space="preserve">Art. 29 </w:t>
            </w:r>
            <w:r w:rsidR="00D360E4" w:rsidRPr="00E934FA">
              <w:rPr>
                <w:b/>
              </w:rPr>
              <w:tab/>
            </w:r>
            <w:r w:rsidR="00AA3211" w:rsidRPr="00E934FA">
              <w:t>Gemischte Anlagegruppen</w:t>
            </w:r>
          </w:p>
          <w:p w:rsidR="003770C8" w:rsidRPr="00E934FA" w:rsidRDefault="003770C8" w:rsidP="003770C8">
            <w:pPr>
              <w:pStyle w:val="Listenabsatz"/>
              <w:ind w:left="0"/>
              <w:rPr>
                <w:b/>
              </w:rPr>
            </w:pPr>
          </w:p>
          <w:p w:rsidR="003770C8" w:rsidRPr="00E934FA" w:rsidRDefault="003770C8" w:rsidP="003770C8">
            <w:pPr>
              <w:pStyle w:val="Listenabsatz"/>
              <w:ind w:left="0"/>
            </w:pPr>
            <w:r w:rsidRPr="00E934FA">
              <w:rPr>
                <w:vertAlign w:val="superscript"/>
              </w:rPr>
              <w:t>1</w:t>
            </w:r>
            <w:r w:rsidR="00AA3211" w:rsidRPr="00E934FA">
              <w:t xml:space="preserve"> </w:t>
            </w:r>
            <w:r w:rsidRPr="00E934FA">
              <w:t>Für gemischte Anlagegruppen gelten folgende Verteilungsgrundsätze:</w:t>
            </w:r>
          </w:p>
          <w:p w:rsidR="003770C8" w:rsidRPr="00E934FA" w:rsidRDefault="003770C8" w:rsidP="003770C8">
            <w:pPr>
              <w:pStyle w:val="Listenabsatz"/>
              <w:ind w:left="0"/>
            </w:pPr>
          </w:p>
          <w:p w:rsidR="004B7432" w:rsidRPr="00E934FA" w:rsidRDefault="003770C8" w:rsidP="004B7432">
            <w:pPr>
              <w:pStyle w:val="Listenabsatz"/>
              <w:numPr>
                <w:ilvl w:val="0"/>
                <w:numId w:val="29"/>
              </w:numPr>
              <w:ind w:left="284" w:hanging="284"/>
            </w:pPr>
            <w:r w:rsidRPr="00E934FA">
              <w:t>Obligationen sind angemessen nach Branchen, Regionen und Laufzeiten zu</w:t>
            </w:r>
            <w:r w:rsidR="004B7432" w:rsidRPr="00E934FA">
              <w:t xml:space="preserve"> </w:t>
            </w:r>
            <w:r w:rsidRPr="00E934FA">
              <w:t>verteilen;</w:t>
            </w:r>
          </w:p>
          <w:p w:rsidR="004B7432" w:rsidRPr="00E934FA" w:rsidRDefault="003770C8" w:rsidP="004B7432">
            <w:pPr>
              <w:pStyle w:val="Listenabsatz"/>
              <w:numPr>
                <w:ilvl w:val="0"/>
                <w:numId w:val="29"/>
              </w:numPr>
              <w:ind w:left="284" w:hanging="284"/>
            </w:pPr>
            <w:r w:rsidRPr="00E934FA">
              <w:t>Aktien sind angemessen nach Branchen und Regionen zu verteilen;</w:t>
            </w:r>
          </w:p>
          <w:p w:rsidR="003770C8" w:rsidRPr="00E934FA" w:rsidRDefault="003770C8" w:rsidP="004B7432">
            <w:pPr>
              <w:pStyle w:val="Listenabsatz"/>
              <w:numPr>
                <w:ilvl w:val="0"/>
                <w:numId w:val="29"/>
              </w:numPr>
              <w:ind w:left="284" w:hanging="284"/>
            </w:pPr>
            <w:r w:rsidRPr="00E934FA">
              <w:t>Immobilienanlagen sind angemes</w:t>
            </w:r>
            <w:r w:rsidR="004B7432" w:rsidRPr="00E934FA">
              <w:t xml:space="preserve">sen nach </w:t>
            </w:r>
            <w:r w:rsidRPr="00E934FA">
              <w:t>Regionen und Nutzungsarten zu</w:t>
            </w:r>
            <w:r w:rsidR="004B7432" w:rsidRPr="00E934FA">
              <w:t xml:space="preserve"> verteilen; </w:t>
            </w:r>
            <w:r w:rsidRPr="00E934FA">
              <w:t>sie können sich auf die Sch</w:t>
            </w:r>
            <w:r w:rsidR="004B7432" w:rsidRPr="00E934FA">
              <w:t xml:space="preserve">weiz und </w:t>
            </w:r>
            <w:r w:rsidRPr="00E934FA">
              <w:t>Wohnliegenschaften beschränken.</w:t>
            </w:r>
          </w:p>
          <w:p w:rsidR="003770C8" w:rsidRPr="00E934FA" w:rsidRDefault="003770C8" w:rsidP="003770C8">
            <w:pPr>
              <w:pStyle w:val="Listenabsatz"/>
              <w:ind w:left="0"/>
            </w:pPr>
          </w:p>
          <w:p w:rsidR="003770C8" w:rsidRPr="00E934FA" w:rsidRDefault="003770C8" w:rsidP="003770C8">
            <w:pPr>
              <w:pStyle w:val="Listenabsatz"/>
              <w:ind w:left="0"/>
            </w:pPr>
            <w:r w:rsidRPr="00E934FA">
              <w:rPr>
                <w:vertAlign w:val="superscript"/>
              </w:rPr>
              <w:t>2</w:t>
            </w:r>
            <w:r w:rsidR="004B7432" w:rsidRPr="00E934FA">
              <w:t xml:space="preserve"> </w:t>
            </w:r>
            <w:r w:rsidRPr="00E934FA">
              <w:t>Für Immobilienanlagen ist Artikel 27 sinngemäss anwendbar.</w:t>
            </w:r>
          </w:p>
          <w:p w:rsidR="003770C8" w:rsidRPr="00E934FA" w:rsidRDefault="003770C8" w:rsidP="003770C8">
            <w:pPr>
              <w:pStyle w:val="Listenabsatz"/>
              <w:ind w:left="0"/>
            </w:pPr>
          </w:p>
          <w:p w:rsidR="003770C8" w:rsidRPr="00E934FA" w:rsidRDefault="004B7432" w:rsidP="004B7432">
            <w:pPr>
              <w:pStyle w:val="Listenabsatz"/>
              <w:ind w:left="0"/>
            </w:pPr>
            <w:r w:rsidRPr="00E934FA">
              <w:rPr>
                <w:vertAlign w:val="superscript"/>
              </w:rPr>
              <w:t xml:space="preserve">3 </w:t>
            </w:r>
            <w:r w:rsidR="003770C8" w:rsidRPr="00E934FA">
              <w:t>Alternative Anlagen sind zulässig mittels:</w:t>
            </w:r>
          </w:p>
          <w:p w:rsidR="003770C8" w:rsidRPr="00E934FA" w:rsidRDefault="003770C8" w:rsidP="003770C8">
            <w:pPr>
              <w:pStyle w:val="Listenabsatz"/>
              <w:ind w:left="0"/>
            </w:pPr>
          </w:p>
          <w:p w:rsidR="004B7432" w:rsidRPr="00E934FA" w:rsidRDefault="003770C8" w:rsidP="004B7432">
            <w:pPr>
              <w:pStyle w:val="Listenabsatz"/>
              <w:numPr>
                <w:ilvl w:val="0"/>
                <w:numId w:val="30"/>
              </w:numPr>
              <w:ind w:left="284" w:hanging="284"/>
            </w:pPr>
            <w:r w:rsidRPr="00E934FA">
              <w:t>Anlagegruppen nach Artikel 28; oder</w:t>
            </w:r>
            <w:r w:rsidR="004B7432" w:rsidRPr="00E934FA">
              <w:t xml:space="preserve"> </w:t>
            </w:r>
            <w:r w:rsidRPr="00E934FA">
              <w:t>kollektiven Anlagen, die der Auf</w:t>
            </w:r>
            <w:r w:rsidR="004B7432" w:rsidRPr="00E934FA">
              <w:t xml:space="preserve">sicht der </w:t>
            </w:r>
            <w:r w:rsidRPr="00E934FA">
              <w:t>FINMA oder einer gleichwertigen</w:t>
            </w:r>
            <w:r w:rsidR="004B7432" w:rsidRPr="00E934FA">
              <w:t xml:space="preserve"> </w:t>
            </w:r>
            <w:r w:rsidRPr="00E934FA">
              <w:t>ausländischen Au</w:t>
            </w:r>
            <w:r w:rsidR="004B7432" w:rsidRPr="00E934FA">
              <w:t xml:space="preserve">fsichtsbehörde unterstehen oder </w:t>
            </w:r>
            <w:r w:rsidRPr="00E934FA">
              <w:t>von der FINMA in der</w:t>
            </w:r>
            <w:r w:rsidR="004B7432" w:rsidRPr="00E934FA">
              <w:t xml:space="preserve"> </w:t>
            </w:r>
            <w:r w:rsidRPr="00E934FA">
              <w:t>Schweiz zum Vertrieb zugelassen sind;</w:t>
            </w:r>
          </w:p>
          <w:p w:rsidR="00860C2D" w:rsidRPr="00E934FA" w:rsidRDefault="003770C8" w:rsidP="003770C8">
            <w:pPr>
              <w:pStyle w:val="Listenabsatz"/>
              <w:numPr>
                <w:ilvl w:val="0"/>
                <w:numId w:val="30"/>
              </w:numPr>
              <w:ind w:left="284" w:hanging="284"/>
            </w:pPr>
            <w:r w:rsidRPr="00E934FA">
              <w:t>Zertifikaten und strukturierten Produkten, sofern sie auf einen breiten Index</w:t>
            </w:r>
            <w:r w:rsidR="004B7432" w:rsidRPr="00E934FA">
              <w:t xml:space="preserve"> </w:t>
            </w:r>
            <w:r w:rsidRPr="00E934FA">
              <w:t>im Bereich al</w:t>
            </w:r>
            <w:r w:rsidR="004B7432" w:rsidRPr="00E934FA">
              <w:t xml:space="preserve">ternativer Anlagen ausgerichtet </w:t>
            </w:r>
            <w:r w:rsidRPr="00E934FA">
              <w:t>sind.</w:t>
            </w:r>
          </w:p>
        </w:tc>
        <w:tc>
          <w:tcPr>
            <w:tcW w:w="4303" w:type="dxa"/>
          </w:tcPr>
          <w:p w:rsidR="003770C8" w:rsidRPr="00E934FA" w:rsidRDefault="003770C8" w:rsidP="001E7B90">
            <w:pPr>
              <w:ind w:left="833" w:hanging="833"/>
            </w:pPr>
            <w:r w:rsidRPr="00E934FA">
              <w:rPr>
                <w:b/>
              </w:rPr>
              <w:t xml:space="preserve">Art. 29 </w:t>
            </w:r>
            <w:r w:rsidR="007E60A1">
              <w:rPr>
                <w:b/>
              </w:rPr>
              <w:tab/>
            </w:r>
            <w:r w:rsidR="007E60A1" w:rsidRPr="001C0456">
              <w:t xml:space="preserve">BVG-konform </w:t>
            </w:r>
            <w:r w:rsidR="007E60A1" w:rsidRPr="003C4862">
              <w:t>g</w:t>
            </w:r>
            <w:r w:rsidR="00AA3211" w:rsidRPr="00D15D31">
              <w:t>emischte Anlage</w:t>
            </w:r>
            <w:r w:rsidR="00AA3211" w:rsidRPr="009B731C">
              <w:t>gruppen</w:t>
            </w:r>
          </w:p>
          <w:p w:rsidR="00860C2D" w:rsidRPr="00E934FA" w:rsidRDefault="0030499C" w:rsidP="00C0084B">
            <w:pPr>
              <w:pStyle w:val="Listenabsatz"/>
              <w:ind w:left="0"/>
            </w:pPr>
            <w:r w:rsidRPr="00E934FA">
              <w:rPr>
                <w:vertAlign w:val="superscript"/>
              </w:rPr>
              <w:t>1</w:t>
            </w:r>
            <w:r w:rsidRPr="00E934FA">
              <w:t xml:space="preserve"> </w:t>
            </w:r>
            <w:r w:rsidR="00C0084B" w:rsidRPr="00E934FA">
              <w:t>Auf g</w:t>
            </w:r>
            <w:r w:rsidR="00A94391" w:rsidRPr="00E934FA">
              <w:t xml:space="preserve">emischte Anlagegruppen </w:t>
            </w:r>
            <w:r w:rsidR="00A94391" w:rsidRPr="003C4862">
              <w:t xml:space="preserve">sind die </w:t>
            </w:r>
            <w:r w:rsidR="00C0084B" w:rsidRPr="001C0456">
              <w:t>Art. 49</w:t>
            </w:r>
            <w:r w:rsidR="006D2EC3" w:rsidRPr="001C0456">
              <w:t>–56a</w:t>
            </w:r>
            <w:r w:rsidR="006D2EC3">
              <w:t xml:space="preserve"> BVV 2 sinngemäss anwendbar</w:t>
            </w:r>
            <w:r w:rsidR="003C4862">
              <w:t>, au</w:t>
            </w:r>
            <w:r w:rsidR="00D15D31">
              <w:t>sgenommen</w:t>
            </w:r>
            <w:r w:rsidR="003C4862">
              <w:t xml:space="preserve"> </w:t>
            </w:r>
            <w:r w:rsidR="00D15D31">
              <w:t xml:space="preserve">Art. 50 Abs. 2 und Art. 52 </w:t>
            </w:r>
            <w:r w:rsidR="00F62474">
              <w:t xml:space="preserve">Satz 1 </w:t>
            </w:r>
            <w:r w:rsidR="00D15D31">
              <w:t>BVV 2</w:t>
            </w:r>
            <w:r w:rsidR="006D2EC3">
              <w:t>.</w:t>
            </w:r>
          </w:p>
          <w:p w:rsidR="00310188" w:rsidRDefault="00310188" w:rsidP="008A37AF">
            <w:pPr>
              <w:pStyle w:val="Listenabsatz"/>
              <w:ind w:left="0"/>
            </w:pPr>
          </w:p>
          <w:p w:rsidR="0030499C" w:rsidRPr="00310188" w:rsidRDefault="006E4D5C" w:rsidP="008A37AF">
            <w:pPr>
              <w:pStyle w:val="Listenabsatz"/>
              <w:ind w:left="0"/>
              <w:rPr>
                <w:i/>
              </w:rPr>
            </w:pPr>
            <w:r>
              <w:rPr>
                <w:i/>
              </w:rPr>
              <w:t>[Absä</w:t>
            </w:r>
            <w:r w:rsidR="00310188" w:rsidRPr="00310188">
              <w:rPr>
                <w:i/>
              </w:rPr>
              <w:t>tz</w:t>
            </w:r>
            <w:r>
              <w:rPr>
                <w:i/>
              </w:rPr>
              <w:t>e</w:t>
            </w:r>
            <w:r w:rsidR="00310188" w:rsidRPr="00310188">
              <w:rPr>
                <w:i/>
              </w:rPr>
              <w:t xml:space="preserve"> </w:t>
            </w:r>
            <w:r>
              <w:rPr>
                <w:i/>
              </w:rPr>
              <w:t xml:space="preserve">2 und </w:t>
            </w:r>
            <w:r w:rsidR="00310188" w:rsidRPr="00310188">
              <w:rPr>
                <w:i/>
              </w:rPr>
              <w:t>3 streichen]</w:t>
            </w:r>
            <w:r w:rsidR="004D737F" w:rsidRPr="00310188">
              <w:rPr>
                <w:i/>
                <w:vertAlign w:val="superscript"/>
              </w:rPr>
              <w:t xml:space="preserve"> </w:t>
            </w:r>
          </w:p>
        </w:tc>
        <w:tc>
          <w:tcPr>
            <w:tcW w:w="5079" w:type="dxa"/>
          </w:tcPr>
          <w:p w:rsidR="00D93C54" w:rsidRPr="00E934FA" w:rsidRDefault="00D93C54" w:rsidP="001252B1">
            <w:r w:rsidRPr="00E934FA">
              <w:t>Bei gemischten Anlagegruppen</w:t>
            </w:r>
            <w:r w:rsidR="0098622F">
              <w:t xml:space="preserve">, die als </w:t>
            </w:r>
            <w:r w:rsidR="006D2EC3">
              <w:t>BVG-konforme Anlagegefässe deklariert werden,</w:t>
            </w:r>
            <w:r w:rsidRPr="00E934FA">
              <w:t xml:space="preserve"> rechtfertigen sich Abweichungen von </w:t>
            </w:r>
            <w:r w:rsidR="005056D0" w:rsidRPr="00E934FA">
              <w:t xml:space="preserve">den Anlagevorschriften </w:t>
            </w:r>
            <w:r w:rsidRPr="00E934FA">
              <w:t xml:space="preserve">der BVV 2 </w:t>
            </w:r>
            <w:r w:rsidR="0098622F">
              <w:t xml:space="preserve">selbstredend </w:t>
            </w:r>
            <w:r w:rsidRPr="00E934FA">
              <w:t>nicht.</w:t>
            </w:r>
          </w:p>
          <w:p w:rsidR="001D582F" w:rsidRPr="00E934FA" w:rsidRDefault="00D93C54" w:rsidP="00D93C54">
            <w:pPr>
              <w:autoSpaceDE w:val="0"/>
              <w:autoSpaceDN w:val="0"/>
              <w:adjustRightInd w:val="0"/>
              <w:spacing w:after="0" w:line="240" w:lineRule="auto"/>
            </w:pPr>
            <w:r w:rsidRPr="00E934FA">
              <w:rPr>
                <w:i/>
              </w:rPr>
              <w:t>Pro Memoria:</w:t>
            </w:r>
            <w:r w:rsidRPr="00E934FA">
              <w:t xml:space="preserve"> Gemäss dem von der KGAST bereits vor der Vernehmlassung der ASV im Jahre 2011 eingereichten Konzept betreffend Anlagevorschriften für die Anlagestiftungen wäre eine „gemischte Anlagegruppe“ so beschaffen, dass sie die Anlagevorschriften der BVV 2 vollständig einhält und ein Anleger folglich sein gesamtes Vermögen investieren könnte ("one-stop-shop-Konzept"). Daneben wären Anlagegruppen vorgesehen, die – </w:t>
            </w:r>
            <w:r w:rsidR="00895E62" w:rsidRPr="00E934FA">
              <w:t xml:space="preserve">natürlich </w:t>
            </w:r>
            <w:r w:rsidRPr="00E934FA">
              <w:t xml:space="preserve">für die Anleger transparent deklariert – von den Diversifikationsvorschriften gemäss BVV 2 – u.U. sehr wesentlich – abweichen, so dass die Sicherstellung der Einhaltung der Vorschriften auf der Stufe der Vorsorgeeinrichtung vorzunehmen ist ("Baukasten-Konzept"). </w:t>
            </w:r>
          </w:p>
          <w:p w:rsidR="001D582F" w:rsidRPr="00E934FA" w:rsidRDefault="001D582F" w:rsidP="00D93C54">
            <w:pPr>
              <w:autoSpaceDE w:val="0"/>
              <w:autoSpaceDN w:val="0"/>
              <w:adjustRightInd w:val="0"/>
              <w:spacing w:after="0" w:line="240" w:lineRule="auto"/>
            </w:pPr>
          </w:p>
          <w:p w:rsidR="008224BE" w:rsidRDefault="00D93C54" w:rsidP="008224BE">
            <w:pPr>
              <w:autoSpaceDE w:val="0"/>
              <w:autoSpaceDN w:val="0"/>
              <w:adjustRightInd w:val="0"/>
              <w:spacing w:after="0" w:line="240" w:lineRule="auto"/>
            </w:pPr>
            <w:r w:rsidRPr="00E934FA">
              <w:t>Dieses Konzept würde eine rechtskonforme, effiziente, den unterschiedlichen Bedürfnissen grosser und kleiner Vorsorgeeinrichtungen gerecht werdende und innovative Anlagetätigkeit ermöglichen.</w:t>
            </w:r>
          </w:p>
          <w:p w:rsidR="008224BE" w:rsidRDefault="008224BE" w:rsidP="008224BE">
            <w:pPr>
              <w:autoSpaceDE w:val="0"/>
              <w:autoSpaceDN w:val="0"/>
              <w:adjustRightInd w:val="0"/>
              <w:spacing w:after="0" w:line="240" w:lineRule="auto"/>
            </w:pPr>
          </w:p>
          <w:p w:rsidR="00BB2B4D" w:rsidRPr="00E934FA" w:rsidRDefault="008224BE" w:rsidP="008224BE">
            <w:pPr>
              <w:autoSpaceDE w:val="0"/>
              <w:autoSpaceDN w:val="0"/>
              <w:adjustRightInd w:val="0"/>
              <w:spacing w:after="0" w:line="240" w:lineRule="auto"/>
            </w:pPr>
            <w:r>
              <w:t xml:space="preserve">Vgl. Abs. 1 des Vorschlags. </w:t>
            </w:r>
            <w:r w:rsidRPr="00E934FA">
              <w:t xml:space="preserve"> </w:t>
            </w:r>
          </w:p>
        </w:tc>
      </w:tr>
      <w:tr w:rsidR="00E51FBD" w:rsidRPr="00E934FA" w:rsidTr="00E432EB">
        <w:tc>
          <w:tcPr>
            <w:tcW w:w="4270" w:type="dxa"/>
          </w:tcPr>
          <w:p w:rsidR="00E51FBD" w:rsidRPr="00E934FA" w:rsidRDefault="00E51FBD" w:rsidP="00E51FBD">
            <w:pPr>
              <w:pStyle w:val="Listenabsatz"/>
              <w:ind w:left="0"/>
              <w:rPr>
                <w:i/>
              </w:rPr>
            </w:pPr>
            <w:r w:rsidRPr="00E934FA">
              <w:rPr>
                <w:i/>
              </w:rPr>
              <w:t>[Nicht vorhanden]</w:t>
            </w:r>
          </w:p>
        </w:tc>
        <w:tc>
          <w:tcPr>
            <w:tcW w:w="4303" w:type="dxa"/>
          </w:tcPr>
          <w:p w:rsidR="00C3185D" w:rsidRPr="00E934FA" w:rsidRDefault="00E51FBD" w:rsidP="000C2CF4">
            <w:pPr>
              <w:ind w:left="833" w:hanging="833"/>
            </w:pPr>
            <w:r w:rsidRPr="00E934FA">
              <w:rPr>
                <w:b/>
              </w:rPr>
              <w:t xml:space="preserve">Art. 29a </w:t>
            </w:r>
            <w:r w:rsidR="00D360E4" w:rsidRPr="00E934FA">
              <w:rPr>
                <w:b/>
              </w:rPr>
              <w:tab/>
            </w:r>
            <w:r w:rsidRPr="00E934FA">
              <w:t>Einanleger-Anlagegruppe</w:t>
            </w:r>
            <w:r w:rsidR="006032B0" w:rsidRPr="00E934FA">
              <w:t>n</w:t>
            </w:r>
          </w:p>
        </w:tc>
        <w:tc>
          <w:tcPr>
            <w:tcW w:w="5079" w:type="dxa"/>
          </w:tcPr>
          <w:p w:rsidR="00E51FBD" w:rsidRPr="00E934FA" w:rsidRDefault="00E51FBD" w:rsidP="005B748C"/>
        </w:tc>
      </w:tr>
      <w:tr w:rsidR="00264DE8" w:rsidRPr="00E934FA" w:rsidTr="00E432EB">
        <w:tc>
          <w:tcPr>
            <w:tcW w:w="4270" w:type="dxa"/>
          </w:tcPr>
          <w:p w:rsidR="00264DE8" w:rsidRPr="00E934FA" w:rsidRDefault="00264DE8" w:rsidP="005B748C">
            <w:pPr>
              <w:pStyle w:val="Listenabsatz"/>
              <w:ind w:left="0"/>
              <w:rPr>
                <w:b/>
              </w:rPr>
            </w:pPr>
          </w:p>
        </w:tc>
        <w:tc>
          <w:tcPr>
            <w:tcW w:w="4303" w:type="dxa"/>
          </w:tcPr>
          <w:p w:rsidR="00264DE8" w:rsidRPr="00E934FA" w:rsidRDefault="006A5B35" w:rsidP="006A5B35">
            <w:pPr>
              <w:pStyle w:val="Listenabsatz"/>
              <w:ind w:left="0"/>
            </w:pPr>
            <w:r w:rsidRPr="00E934FA">
              <w:rPr>
                <w:vertAlign w:val="superscript"/>
              </w:rPr>
              <w:t>1</w:t>
            </w:r>
            <w:r w:rsidRPr="00E934FA">
              <w:t xml:space="preserve"> Besteht die Anlagegruppe nur aus Ansprüchen eines Anlegers, so gelten die folgenden Abweichungen von den Bestimmungen dieser Verordnung:</w:t>
            </w:r>
          </w:p>
          <w:p w:rsidR="00EF33B0" w:rsidRPr="00E934FA" w:rsidRDefault="006A5B35" w:rsidP="00830D13">
            <w:pPr>
              <w:pStyle w:val="Listenabsatz"/>
              <w:numPr>
                <w:ilvl w:val="0"/>
                <w:numId w:val="23"/>
              </w:numPr>
              <w:ind w:left="409" w:hanging="284"/>
            </w:pPr>
            <w:r w:rsidRPr="00E934FA">
              <w:t>Die Prospektpflicht gemäss Artikel 37 entfällt.</w:t>
            </w:r>
            <w:r w:rsidRPr="00E934FA">
              <w:rPr>
                <w:rStyle w:val="Funotenzeichen"/>
              </w:rPr>
              <w:footnoteReference w:id="1"/>
            </w:r>
          </w:p>
          <w:p w:rsidR="00EF33B0" w:rsidRPr="00E934FA" w:rsidRDefault="00235781" w:rsidP="00EF33B0">
            <w:pPr>
              <w:pStyle w:val="Listenabsatz"/>
              <w:numPr>
                <w:ilvl w:val="0"/>
                <w:numId w:val="23"/>
              </w:numPr>
              <w:ind w:left="409" w:hanging="267"/>
            </w:pPr>
            <w:r w:rsidRPr="00E934FA">
              <w:t xml:space="preserve">Die Genehmigung der Jahresrechnung </w:t>
            </w:r>
            <w:r w:rsidR="005B748C" w:rsidRPr="00E934FA">
              <w:t>gemäss Art. 4 Abs. 1 lit. e kann von der Anlegerversammlung an den Stiftungsrat delegiert werden.</w:t>
            </w:r>
          </w:p>
          <w:p w:rsidR="00B3747F" w:rsidRPr="00E934FA" w:rsidRDefault="00B3747F" w:rsidP="00B3747F">
            <w:pPr>
              <w:pStyle w:val="Listenabsatz"/>
              <w:numPr>
                <w:ilvl w:val="0"/>
                <w:numId w:val="23"/>
              </w:numPr>
              <w:ind w:left="409" w:hanging="267"/>
            </w:pPr>
            <w:r w:rsidRPr="00E934FA">
              <w:t>In Abweichung von Artikel 35 Abs. 3 oder Artikel 38 Abs. 7 ergeben sich Publikationspflichten betreffend Rendite und Risiken ausschliesslich aus einer Vereinbarung zwischen de</w:t>
            </w:r>
            <w:r w:rsidR="00D32A08" w:rsidRPr="00E934FA">
              <w:t>r Stiftung und dem Einanleger.</w:t>
            </w:r>
          </w:p>
          <w:p w:rsidR="00EF33B0" w:rsidRPr="00E934FA" w:rsidRDefault="005B748C" w:rsidP="00EF33B0">
            <w:pPr>
              <w:pStyle w:val="Listenabsatz"/>
              <w:numPr>
                <w:ilvl w:val="0"/>
                <w:numId w:val="23"/>
              </w:numPr>
              <w:ind w:left="409" w:hanging="267"/>
            </w:pPr>
            <w:r w:rsidRPr="00E934FA">
              <w:t>Die Statuten können die Regelung der Bereiche g</w:t>
            </w:r>
            <w:r w:rsidR="003C37A3" w:rsidRPr="00E934FA">
              <w:t xml:space="preserve">emäss Artikel </w:t>
            </w:r>
            <w:r w:rsidR="0058164F" w:rsidRPr="00E934FA">
              <w:t xml:space="preserve">13 Abs. 3 </w:t>
            </w:r>
            <w:r w:rsidRPr="00E934FA">
              <w:t xml:space="preserve">auch </w:t>
            </w:r>
            <w:r w:rsidR="0058164F" w:rsidRPr="00E934FA">
              <w:t xml:space="preserve">an </w:t>
            </w:r>
            <w:r w:rsidRPr="00E934FA">
              <w:t>einzel</w:t>
            </w:r>
            <w:r w:rsidR="0058164F" w:rsidRPr="00E934FA">
              <w:t>ne</w:t>
            </w:r>
            <w:r w:rsidRPr="00E934FA">
              <w:t xml:space="preserve"> Mitglie</w:t>
            </w:r>
            <w:r w:rsidR="00954C88" w:rsidRPr="00E934FA">
              <w:t>der</w:t>
            </w:r>
            <w:r w:rsidRPr="00E934FA">
              <w:t xml:space="preserve"> des Stiftungsrates übertragen</w:t>
            </w:r>
            <w:r w:rsidR="0058164F" w:rsidRPr="00E934FA">
              <w:t>, sofern sich ein Bereich nur auf die Einanleger-Anlagegruppe und nicht auf weitere Anlagegruppen bezieht.</w:t>
            </w:r>
          </w:p>
          <w:p w:rsidR="00EF33B0" w:rsidRPr="00E934FA" w:rsidRDefault="0058164F" w:rsidP="00EF33B0">
            <w:pPr>
              <w:pStyle w:val="Listenabsatz"/>
              <w:numPr>
                <w:ilvl w:val="0"/>
                <w:numId w:val="23"/>
              </w:numPr>
              <w:ind w:left="409" w:hanging="267"/>
            </w:pPr>
            <w:r w:rsidRPr="00E934FA">
              <w:t>Die Einschränkung gemäss Artikel 20 Abs. 2, wonach Einlageobjekte (ausser Private-Equity-Anlagen) an einer Börse oder an einem geregelten Markt gehandelt werden, der dem Publikum offensteht, gilt nicht.</w:t>
            </w:r>
          </w:p>
          <w:p w:rsidR="008D0190" w:rsidRPr="00E934FA" w:rsidRDefault="00C80567" w:rsidP="00EF33B0">
            <w:pPr>
              <w:pStyle w:val="Listenabsatz"/>
              <w:numPr>
                <w:ilvl w:val="0"/>
                <w:numId w:val="23"/>
              </w:numPr>
              <w:ind w:left="409" w:hanging="267"/>
            </w:pPr>
            <w:r w:rsidRPr="00E934FA">
              <w:t xml:space="preserve">Artikel 26 </w:t>
            </w:r>
            <w:r w:rsidR="00F2210C" w:rsidRPr="00E934FA">
              <w:rPr>
                <w:i/>
              </w:rPr>
              <w:t>[neu]</w:t>
            </w:r>
            <w:r w:rsidRPr="00E934FA">
              <w:t xml:space="preserve">Abs. 1 und </w:t>
            </w:r>
            <w:r w:rsidR="00F2210C" w:rsidRPr="00E934FA">
              <w:rPr>
                <w:i/>
              </w:rPr>
              <w:t>[neu]</w:t>
            </w:r>
            <w:r w:rsidR="00F2210C" w:rsidRPr="00E934FA">
              <w:t xml:space="preserve">Abs. </w:t>
            </w:r>
            <w:r w:rsidRPr="00E934FA">
              <w:t>2 sind nicht an</w:t>
            </w:r>
            <w:r w:rsidR="00543FF4" w:rsidRPr="00E934FA">
              <w:t>wendbar</w:t>
            </w:r>
            <w:r w:rsidR="00C33583" w:rsidRPr="00E934FA">
              <w:t xml:space="preserve"> für Einanleger-Anlagegruppen</w:t>
            </w:r>
            <w:r w:rsidR="00543FF4" w:rsidRPr="00E934FA">
              <w:t xml:space="preserve">. </w:t>
            </w:r>
            <w:r w:rsidR="00985207" w:rsidRPr="00E934FA">
              <w:t>Die Einhaltung der einschlägigen Bestimmungen der BVV 2 durch den Einanleger hat sich die Stiftung vertraglich zusichern zu lassen</w:t>
            </w:r>
            <w:r w:rsidR="00CF5620" w:rsidRPr="00E934FA">
              <w:t xml:space="preserve">, wobei die </w:t>
            </w:r>
            <w:r w:rsidR="005801C0" w:rsidRPr="00E934FA">
              <w:t xml:space="preserve">diesbezügliche </w:t>
            </w:r>
            <w:r w:rsidR="00CF5620" w:rsidRPr="00E934FA">
              <w:t>Verantwortung beim Einanleger verbleibt</w:t>
            </w:r>
            <w:r w:rsidR="00DB2E22" w:rsidRPr="00E934FA">
              <w:t>.</w:t>
            </w:r>
          </w:p>
          <w:p w:rsidR="00DB2E22" w:rsidRPr="00E934FA" w:rsidRDefault="00DB2E22" w:rsidP="00EF33B0">
            <w:pPr>
              <w:pStyle w:val="Listenabsatz"/>
              <w:numPr>
                <w:ilvl w:val="0"/>
                <w:numId w:val="23"/>
              </w:numPr>
              <w:ind w:left="409" w:hanging="267"/>
            </w:pPr>
            <w:r w:rsidRPr="00E934FA">
              <w:t>Bei Anlagen im Infrastruktur-Bereich ist die Begrenzung von Art. 28 Abs. 4 Satz 2 nicht anwendbar.</w:t>
            </w:r>
          </w:p>
          <w:p w:rsidR="00EF33B0" w:rsidRPr="00E934FA" w:rsidRDefault="00AC38A7" w:rsidP="00EF33B0">
            <w:pPr>
              <w:pStyle w:val="Listenabsatz"/>
              <w:numPr>
                <w:ilvl w:val="0"/>
                <w:numId w:val="23"/>
              </w:numPr>
              <w:ind w:left="409" w:hanging="267"/>
            </w:pPr>
            <w:r w:rsidRPr="00E934FA">
              <w:t xml:space="preserve">Bei gemischten Einanleger-Anlagegruppen gelten die Einschränkungen von </w:t>
            </w:r>
            <w:r w:rsidR="00C33583" w:rsidRPr="00E934FA">
              <w:rPr>
                <w:i/>
              </w:rPr>
              <w:t>[</w:t>
            </w:r>
            <w:r w:rsidRPr="00E934FA">
              <w:rPr>
                <w:i/>
              </w:rPr>
              <w:t>neu</w:t>
            </w:r>
            <w:r w:rsidR="00C33583" w:rsidRPr="00E934FA">
              <w:rPr>
                <w:i/>
              </w:rPr>
              <w:t>]</w:t>
            </w:r>
            <w:r w:rsidRPr="00E934FA">
              <w:t>Artikel 29 nicht.</w:t>
            </w:r>
          </w:p>
          <w:p w:rsidR="00EF33B0" w:rsidRPr="00E934FA" w:rsidRDefault="00FF0457" w:rsidP="00EF33B0">
            <w:pPr>
              <w:pStyle w:val="Listenabsatz"/>
              <w:numPr>
                <w:ilvl w:val="0"/>
                <w:numId w:val="23"/>
              </w:numPr>
              <w:ind w:left="409" w:hanging="267"/>
            </w:pPr>
            <w:r w:rsidRPr="00E934FA">
              <w:t xml:space="preserve">Bei kollektiven Anlagen gelten die Beschränkungen von Artikel 30 </w:t>
            </w:r>
            <w:r w:rsidR="00795440" w:rsidRPr="00E934FA">
              <w:rPr>
                <w:i/>
              </w:rPr>
              <w:t>[neu]</w:t>
            </w:r>
            <w:r w:rsidR="00795440" w:rsidRPr="00E934FA">
              <w:t>Abs. </w:t>
            </w:r>
            <w:r w:rsidRPr="00E934FA">
              <w:t>3 nicht.</w:t>
            </w:r>
            <w:r w:rsidR="00E57F62" w:rsidRPr="00E934FA">
              <w:t xml:space="preserve"> Die Einhaltung der einschlägigen Bestimmungen der BVV 2 durch den Einanleger hat sich die Stiftung vertraglich zusichern zu lassen</w:t>
            </w:r>
            <w:r w:rsidR="00CF5620" w:rsidRPr="00E934FA">
              <w:t xml:space="preserve">, wobei die </w:t>
            </w:r>
            <w:r w:rsidR="005801C0" w:rsidRPr="00E934FA">
              <w:t xml:space="preserve">diesbezügliche </w:t>
            </w:r>
            <w:r w:rsidR="00CF5620" w:rsidRPr="00E934FA">
              <w:t>Verantwortung beim Einanleger verbleibt</w:t>
            </w:r>
            <w:r w:rsidR="00E57F62" w:rsidRPr="00E934FA">
              <w:t>.</w:t>
            </w:r>
          </w:p>
          <w:p w:rsidR="008478CE" w:rsidRDefault="00A01026" w:rsidP="00EF33B0">
            <w:pPr>
              <w:pStyle w:val="Listenabsatz"/>
              <w:numPr>
                <w:ilvl w:val="0"/>
                <w:numId w:val="23"/>
              </w:numPr>
              <w:ind w:left="409" w:hanging="267"/>
            </w:pPr>
            <w:r w:rsidRPr="005058B4">
              <w:rPr>
                <w:i/>
              </w:rPr>
              <w:t>[Auf Gesuch des Einanlegers hin kann der Stiftungsrat beschliessen, einzelne weitere Anleger in die Anlagegruppe aufzunehmen, sofern diese die vertraglichen Verpflichtungen gemäss lit. f und i obenstehend eingehen. Die Bestimmungen dieses Art. 29a bleiben anwendbar.]</w:t>
            </w:r>
            <w:r w:rsidRPr="00E934FA">
              <w:rPr>
                <w:rStyle w:val="Funotenzeichen"/>
              </w:rPr>
              <w:footnoteReference w:id="2"/>
            </w:r>
          </w:p>
          <w:p w:rsidR="00BB2B4D" w:rsidRPr="00E934FA" w:rsidRDefault="00BB2B4D" w:rsidP="00BB2B4D">
            <w:pPr>
              <w:pStyle w:val="Listenabsatz"/>
              <w:ind w:left="409"/>
            </w:pPr>
          </w:p>
          <w:p w:rsidR="006A5B35" w:rsidRPr="00E934FA" w:rsidRDefault="006A5B35" w:rsidP="006A5B35">
            <w:r w:rsidRPr="00E934FA">
              <w:rPr>
                <w:vertAlign w:val="superscript"/>
              </w:rPr>
              <w:t xml:space="preserve">2 </w:t>
            </w:r>
            <w:r w:rsidRPr="00E934FA">
              <w:t>Ansonsten gelten die Bestimmungen dieser Verordnung unverändert.</w:t>
            </w:r>
          </w:p>
        </w:tc>
        <w:tc>
          <w:tcPr>
            <w:tcW w:w="5079" w:type="dxa"/>
          </w:tcPr>
          <w:p w:rsidR="00264DE8" w:rsidRPr="00E934FA" w:rsidRDefault="006A5B35" w:rsidP="006A5B35">
            <w:pPr>
              <w:rPr>
                <w:u w:val="single"/>
              </w:rPr>
            </w:pPr>
            <w:r w:rsidRPr="00E934FA">
              <w:t>Einanleger-Anlagegruppen sind bereits unter der gelt</w:t>
            </w:r>
            <w:r w:rsidR="002F7474" w:rsidRPr="00E934FA">
              <w:t xml:space="preserve">enden ASV zulässig, was </w:t>
            </w:r>
            <w:r w:rsidRPr="00E934FA">
              <w:t>sich ausdrücklich aus Art. 37 Abs. 5 ASV</w:t>
            </w:r>
            <w:r w:rsidR="002F7474" w:rsidRPr="00E934FA">
              <w:t xml:space="preserve"> ergibt</w:t>
            </w:r>
            <w:r w:rsidRPr="00E934FA">
              <w:t>, wonach solche Anlagegruppen von der Prospektpflicht befreit sind.</w:t>
            </w:r>
            <w:r w:rsidR="002F7474" w:rsidRPr="00E934FA">
              <w:t xml:space="preserve"> Einanleger-Fonds sind auch im KAG für gewisse qualifizierte Anleger (bspw. Vorsorgeeinrichtungen) vorgesehen.</w:t>
            </w:r>
          </w:p>
          <w:p w:rsidR="008C7BEC" w:rsidRPr="00E934FA" w:rsidRDefault="008C7BEC" w:rsidP="006A5B35">
            <w:r w:rsidRPr="00E934FA">
              <w:t xml:space="preserve">Einanleger-Anlagegruppen zeichnen sich durch eine besondere Nähe des Anlegers zur Anlagegruppe aus, die spezifisch auf dessen Verhältnisse zugeschnitten ist. </w:t>
            </w:r>
            <w:r w:rsidR="009423FC">
              <w:t xml:space="preserve">Der Selbsthilfegedanke kommt hier besonders stark zum Ausdruck. </w:t>
            </w:r>
            <w:r w:rsidRPr="00E934FA">
              <w:t>Entsprechend ist das Verhältnis des Anlegers zur Anlagestiftung mit Bezug auf die betreffende Einanleger-Anlagegruppe durch spezifische und detaillierte Vertragswerke geregelt. Die Anlagegruppe "gehört" vollständig dem Anleger, so dass es sich bezüglich dieser Anlagegruppen rechtfertigt, spezifische und weniger weitgeh</w:t>
            </w:r>
            <w:r w:rsidR="00895E62" w:rsidRPr="00E934FA">
              <w:t>ende Anforderungen vorzuse</w:t>
            </w:r>
            <w:r w:rsidR="00B76D47">
              <w:t>hen.</w:t>
            </w:r>
          </w:p>
          <w:p w:rsidR="006A5B35" w:rsidRPr="00E934FA" w:rsidRDefault="002F7474" w:rsidP="002F7474">
            <w:r w:rsidRPr="00E934FA">
              <w:t>Die vorgeschlagene Bestimmung von Art. 29a ASV widerspiegelt die besondere Situation bei Einanleger-Anlagegruppen.</w:t>
            </w:r>
            <w:r w:rsidR="00504742" w:rsidRPr="00E934FA">
              <w:t xml:space="preserve"> Abweichungen sind </w:t>
            </w:r>
            <w:r w:rsidR="00895E62" w:rsidRPr="00E934FA">
              <w:t xml:space="preserve">insbesondere </w:t>
            </w:r>
            <w:r w:rsidR="00504742" w:rsidRPr="00E934FA">
              <w:t>gerechtfertigt bei der</w:t>
            </w:r>
            <w:r w:rsidR="00B76D47">
              <w:t xml:space="preserve"> Offenlegung</w:t>
            </w:r>
            <w:r w:rsidR="00504742" w:rsidRPr="00E934FA">
              <w:t>, der Organisati</w:t>
            </w:r>
            <w:r w:rsidR="00B76D47">
              <w:t xml:space="preserve">on </w:t>
            </w:r>
            <w:r w:rsidR="00504742" w:rsidRPr="00E934FA">
              <w:t>sowie bei de</w:t>
            </w:r>
            <w:r w:rsidR="00B76D47">
              <w:t>r Anlagetätigkeit</w:t>
            </w:r>
            <w:r w:rsidR="00504742" w:rsidRPr="00E934FA">
              <w:t>.</w:t>
            </w:r>
          </w:p>
        </w:tc>
      </w:tr>
      <w:tr w:rsidR="00A15FD1" w:rsidRPr="00E934FA" w:rsidTr="00E432EB">
        <w:tc>
          <w:tcPr>
            <w:tcW w:w="4270" w:type="dxa"/>
          </w:tcPr>
          <w:p w:rsidR="00790FF9" w:rsidRPr="00E934FA" w:rsidRDefault="00790FF9" w:rsidP="00D360E4">
            <w:pPr>
              <w:pStyle w:val="Listenabsatz"/>
              <w:ind w:left="851" w:hanging="851"/>
            </w:pPr>
            <w:r w:rsidRPr="00E934FA">
              <w:rPr>
                <w:b/>
              </w:rPr>
              <w:t xml:space="preserve">Art. 30 </w:t>
            </w:r>
            <w:r w:rsidR="00D360E4" w:rsidRPr="00E934FA">
              <w:rPr>
                <w:b/>
              </w:rPr>
              <w:tab/>
            </w:r>
            <w:r w:rsidR="00DE0CDC" w:rsidRPr="00E934FA">
              <w:t>Kollektive Anlagen</w:t>
            </w:r>
          </w:p>
          <w:p w:rsidR="00790FF9" w:rsidRPr="00E934FA" w:rsidRDefault="00790FF9" w:rsidP="00790FF9">
            <w:pPr>
              <w:pStyle w:val="Listenabsatz"/>
              <w:ind w:left="0"/>
              <w:rPr>
                <w:b/>
              </w:rPr>
            </w:pPr>
          </w:p>
          <w:p w:rsidR="00790FF9" w:rsidRPr="00E934FA" w:rsidRDefault="00790FF9" w:rsidP="00790FF9">
            <w:pPr>
              <w:pStyle w:val="Listenabsatz"/>
              <w:ind w:left="0"/>
            </w:pPr>
            <w:r w:rsidRPr="00E934FA">
              <w:rPr>
                <w:vertAlign w:val="superscript"/>
              </w:rPr>
              <w:t>1</w:t>
            </w:r>
            <w:r w:rsidR="00B56402" w:rsidRPr="00E934FA">
              <w:t xml:space="preserve"> </w:t>
            </w:r>
            <w:r w:rsidRPr="00E934FA">
              <w:t>Anlagevermögen darf nur in angemessen diversifizierten kollektiven Anlagen nach</w:t>
            </w:r>
            <w:r w:rsidR="00B56402" w:rsidRPr="00E934FA">
              <w:t xml:space="preserve"> </w:t>
            </w:r>
            <w:r w:rsidRPr="00E934FA">
              <w:t>Artikel 56 Absatz 2 BVV 2 mit ausreichender Informations- und Auskunftspflicht</w:t>
            </w:r>
            <w:r w:rsidR="00B56402" w:rsidRPr="00E934FA">
              <w:t xml:space="preserve"> </w:t>
            </w:r>
            <w:r w:rsidRPr="00E934FA">
              <w:t>angelegt werden. Die Aufsichtsbehörde kann in begründeten Einzelfällen bei Anlagegruppen</w:t>
            </w:r>
            <w:r w:rsidR="00B56402" w:rsidRPr="00E934FA">
              <w:t xml:space="preserve"> </w:t>
            </w:r>
            <w:r w:rsidRPr="00E934FA">
              <w:t>im Bereich alternativer Anlagen oder von Auslandimmobilien Abwei</w:t>
            </w:r>
            <w:r w:rsidR="00B56402" w:rsidRPr="00E934FA">
              <w:t xml:space="preserve">chungen nach Artikel 26 </w:t>
            </w:r>
            <w:r w:rsidRPr="00E934FA">
              <w:t>Absatz 9 zulassen.</w:t>
            </w:r>
          </w:p>
          <w:p w:rsidR="00790FF9" w:rsidRPr="00E934FA" w:rsidRDefault="00790FF9" w:rsidP="00790FF9">
            <w:pPr>
              <w:pStyle w:val="Listenabsatz"/>
              <w:ind w:left="0"/>
            </w:pPr>
          </w:p>
          <w:p w:rsidR="00790FF9" w:rsidRPr="00E934FA" w:rsidRDefault="00790FF9" w:rsidP="00790FF9">
            <w:pPr>
              <w:pStyle w:val="Listenabsatz"/>
              <w:ind w:left="0"/>
            </w:pPr>
            <w:r w:rsidRPr="00E934FA">
              <w:rPr>
                <w:vertAlign w:val="superscript"/>
              </w:rPr>
              <w:t>2</w:t>
            </w:r>
            <w:r w:rsidR="00B56402" w:rsidRPr="00E934FA">
              <w:t xml:space="preserve"> </w:t>
            </w:r>
            <w:r w:rsidRPr="00E934FA">
              <w:t>Unzulässig sind kollektive Anlagen, die für die Anleger Nachschuss- oder Sicherstel</w:t>
            </w:r>
            <w:r w:rsidR="002A3923">
              <w:t>lungs</w:t>
            </w:r>
            <w:r w:rsidRPr="00E934FA">
              <w:t>pflichten bedingen.</w:t>
            </w:r>
          </w:p>
          <w:p w:rsidR="00790FF9" w:rsidRPr="00E934FA" w:rsidRDefault="00790FF9" w:rsidP="00790FF9">
            <w:pPr>
              <w:pStyle w:val="Listenabsatz"/>
              <w:ind w:left="0"/>
            </w:pPr>
          </w:p>
          <w:p w:rsidR="00790FF9" w:rsidRPr="00E934FA" w:rsidRDefault="00790FF9" w:rsidP="00790FF9">
            <w:pPr>
              <w:pStyle w:val="Listenabsatz"/>
              <w:ind w:left="0"/>
            </w:pPr>
            <w:r w:rsidRPr="00E934FA">
              <w:rPr>
                <w:vertAlign w:val="superscript"/>
              </w:rPr>
              <w:t>3</w:t>
            </w:r>
            <w:r w:rsidR="00B56402" w:rsidRPr="00E934FA">
              <w:t xml:space="preserve"> </w:t>
            </w:r>
            <w:r w:rsidRPr="00E934FA">
              <w:t>Der Anteil einer kollektiven Anlage ist auf höchstens 20 P</w:t>
            </w:r>
            <w:r w:rsidR="00B56402" w:rsidRPr="00E934FA">
              <w:t>rozent des Vermögens der Anlage</w:t>
            </w:r>
            <w:r w:rsidRPr="00E934FA">
              <w:t>gruppe zu beschränken, sofern die kollektive Anlage nicht:</w:t>
            </w:r>
          </w:p>
          <w:p w:rsidR="00790FF9" w:rsidRPr="00E934FA" w:rsidRDefault="00790FF9" w:rsidP="00790FF9">
            <w:pPr>
              <w:pStyle w:val="Listenabsatz"/>
              <w:ind w:left="0"/>
            </w:pPr>
          </w:p>
          <w:p w:rsidR="0046244E" w:rsidRPr="00E934FA" w:rsidRDefault="00790FF9" w:rsidP="0046244E">
            <w:pPr>
              <w:pStyle w:val="Listenabsatz"/>
              <w:numPr>
                <w:ilvl w:val="0"/>
                <w:numId w:val="19"/>
              </w:numPr>
              <w:ind w:left="284" w:hanging="284"/>
            </w:pPr>
            <w:r w:rsidRPr="00E934FA">
              <w:t>der Aufsicht der FINMA untersteht oder von ihr in der Schweiz zum Vertrieb</w:t>
            </w:r>
            <w:r w:rsidR="0046244E" w:rsidRPr="00E934FA">
              <w:t xml:space="preserve"> </w:t>
            </w:r>
            <w:r w:rsidRPr="00E934FA">
              <w:t>zugelassen ist;</w:t>
            </w:r>
          </w:p>
          <w:p w:rsidR="00790FF9" w:rsidRPr="00E934FA" w:rsidRDefault="00790FF9" w:rsidP="0046244E">
            <w:pPr>
              <w:pStyle w:val="Listenabsatz"/>
              <w:numPr>
                <w:ilvl w:val="0"/>
                <w:numId w:val="19"/>
              </w:numPr>
              <w:ind w:left="284" w:hanging="284"/>
            </w:pPr>
            <w:r w:rsidRPr="00E934FA">
              <w:t>von schweizerischen Anlagestiftungen aufgelegt wurde.</w:t>
            </w:r>
          </w:p>
          <w:p w:rsidR="00790FF9" w:rsidRPr="00E934FA" w:rsidRDefault="00790FF9" w:rsidP="00790FF9">
            <w:pPr>
              <w:pStyle w:val="Listenabsatz"/>
              <w:ind w:left="1069"/>
            </w:pPr>
          </w:p>
          <w:p w:rsidR="00A15FD1" w:rsidRPr="00E934FA" w:rsidRDefault="00790FF9" w:rsidP="00790FF9">
            <w:r w:rsidRPr="00E934FA">
              <w:rPr>
                <w:vertAlign w:val="superscript"/>
              </w:rPr>
              <w:t>4</w:t>
            </w:r>
            <w:r w:rsidR="00B56402" w:rsidRPr="00E934FA">
              <w:t xml:space="preserve"> </w:t>
            </w:r>
            <w:r w:rsidRPr="00E934FA">
              <w:t>Die Anlage in kollektiven Anlagen darf die Einhaltung der Anlagerichtlinien und die Wah</w:t>
            </w:r>
            <w:r w:rsidR="00B56402" w:rsidRPr="00E934FA">
              <w:t xml:space="preserve">rung </w:t>
            </w:r>
            <w:r w:rsidRPr="00E934FA">
              <w:t>der Führungsverantwortung nicht beeinträchtigen.</w:t>
            </w:r>
          </w:p>
        </w:tc>
        <w:tc>
          <w:tcPr>
            <w:tcW w:w="4303" w:type="dxa"/>
          </w:tcPr>
          <w:p w:rsidR="0088322E" w:rsidRPr="00E934FA" w:rsidRDefault="0088322E" w:rsidP="00D360E4">
            <w:pPr>
              <w:pStyle w:val="Listenabsatz"/>
              <w:ind w:left="833" w:hanging="833"/>
            </w:pPr>
            <w:r w:rsidRPr="00E934FA">
              <w:rPr>
                <w:b/>
              </w:rPr>
              <w:t xml:space="preserve">Art. 30 </w:t>
            </w:r>
            <w:r w:rsidR="00D360E4" w:rsidRPr="00E934FA">
              <w:rPr>
                <w:b/>
              </w:rPr>
              <w:tab/>
            </w:r>
            <w:r w:rsidR="00DE0CDC" w:rsidRPr="00E934FA">
              <w:t>Kollektive Anlagen</w:t>
            </w:r>
          </w:p>
          <w:p w:rsidR="0088322E" w:rsidRPr="00E934FA" w:rsidRDefault="0088322E" w:rsidP="0088322E">
            <w:pPr>
              <w:pStyle w:val="Listenabsatz"/>
              <w:ind w:left="0"/>
              <w:rPr>
                <w:b/>
              </w:rPr>
            </w:pPr>
          </w:p>
          <w:p w:rsidR="0088322E" w:rsidRPr="00E934FA" w:rsidRDefault="001A52E2" w:rsidP="0088322E">
            <w:pPr>
              <w:pStyle w:val="Listenabsatz"/>
              <w:ind w:left="0"/>
              <w:rPr>
                <w:i/>
              </w:rPr>
            </w:pPr>
            <w:r w:rsidRPr="00E934FA">
              <w:rPr>
                <w:i/>
              </w:rPr>
              <w:t>[Absätze 1 und 2 unverändert]</w:t>
            </w:r>
          </w:p>
          <w:p w:rsidR="001A52E2" w:rsidRPr="00E934FA" w:rsidRDefault="001A52E2" w:rsidP="0088322E">
            <w:pPr>
              <w:pStyle w:val="Listenabsatz"/>
              <w:ind w:left="0"/>
            </w:pPr>
          </w:p>
          <w:p w:rsidR="0088322E" w:rsidRPr="00E934FA" w:rsidRDefault="0088322E" w:rsidP="0088322E">
            <w:pPr>
              <w:pStyle w:val="Listenabsatz"/>
              <w:ind w:left="0"/>
            </w:pPr>
            <w:r w:rsidRPr="00E934FA">
              <w:rPr>
                <w:vertAlign w:val="superscript"/>
              </w:rPr>
              <w:t>3</w:t>
            </w:r>
            <w:r w:rsidR="00830D13" w:rsidRPr="00E934FA">
              <w:t xml:space="preserve"> </w:t>
            </w:r>
            <w:r w:rsidRPr="00E934FA">
              <w:t>Der Ante</w:t>
            </w:r>
            <w:r w:rsidR="00511D31" w:rsidRPr="00E934FA">
              <w:t xml:space="preserve">il einer kollektiven Anlage ist </w:t>
            </w:r>
            <w:r w:rsidRPr="00E934FA">
              <w:t>auf höchstens 20 Pro</w:t>
            </w:r>
            <w:r w:rsidR="00511D31" w:rsidRPr="00E934FA">
              <w:t xml:space="preserve">zent des Vermögens der </w:t>
            </w:r>
            <w:r w:rsidRPr="00E934FA">
              <w:t>An</w:t>
            </w:r>
            <w:r w:rsidR="00B56402" w:rsidRPr="00E934FA">
              <w:t xml:space="preserve">lagegruppe zu beschränken. Keine Beschränkung besteht, wenn </w:t>
            </w:r>
            <w:r w:rsidRPr="00E934FA">
              <w:t>die kollek</w:t>
            </w:r>
            <w:r w:rsidR="00B56402" w:rsidRPr="00E934FA">
              <w:t>tive Anlage</w:t>
            </w:r>
            <w:r w:rsidR="00FC587B" w:rsidRPr="00E934FA">
              <w:t xml:space="preserve"> oder </w:t>
            </w:r>
            <w:r w:rsidR="009C0149" w:rsidRPr="00E934FA">
              <w:t>das betreffende segregierte</w:t>
            </w:r>
            <w:r w:rsidR="003C1186" w:rsidRPr="00E934FA">
              <w:t xml:space="preserve"> Teilvermögen der</w:t>
            </w:r>
            <w:r w:rsidR="009C0149" w:rsidRPr="00E934FA">
              <w:t xml:space="preserve"> kollektiven Anlage</w:t>
            </w:r>
            <w:r w:rsidR="003C1186" w:rsidRPr="00E934FA">
              <w:t xml:space="preserve">, </w:t>
            </w:r>
            <w:r w:rsidR="00B63476" w:rsidRPr="00E934FA">
              <w:t>d</w:t>
            </w:r>
            <w:r w:rsidR="003C1186" w:rsidRPr="00E934FA">
              <w:t xml:space="preserve">ie </w:t>
            </w:r>
            <w:r w:rsidR="00B63476" w:rsidRPr="00E934FA">
              <w:t>Leitung</w:t>
            </w:r>
            <w:r w:rsidR="004D39B9" w:rsidRPr="00E934FA">
              <w:t xml:space="preserve"> oder </w:t>
            </w:r>
            <w:r w:rsidR="00A84263" w:rsidRPr="00E934FA">
              <w:t>Vermögensverwaltungsgesellschaft</w:t>
            </w:r>
            <w:r w:rsidR="003C1186" w:rsidRPr="00E934FA">
              <w:t xml:space="preserve"> der kollektiven Anlage oder </w:t>
            </w:r>
            <w:r w:rsidR="009C0149" w:rsidRPr="00E934FA">
              <w:t xml:space="preserve">des betreffenden </w:t>
            </w:r>
            <w:r w:rsidR="003C1186" w:rsidRPr="00E934FA">
              <w:t>segregierten Teilvermögens</w:t>
            </w:r>
            <w:r w:rsidR="009C0149" w:rsidRPr="00E934FA">
              <w:t xml:space="preserve"> der kollektiven Anlage</w:t>
            </w:r>
            <w:r w:rsidRPr="00E934FA">
              <w:t>:</w:t>
            </w:r>
          </w:p>
          <w:p w:rsidR="0088322E" w:rsidRPr="00E934FA" w:rsidRDefault="0088322E" w:rsidP="0088322E">
            <w:pPr>
              <w:pStyle w:val="Listenabsatz"/>
              <w:ind w:left="0"/>
            </w:pPr>
          </w:p>
          <w:p w:rsidR="00D90813" w:rsidRPr="00E934FA" w:rsidRDefault="0088322E" w:rsidP="00D90813">
            <w:pPr>
              <w:pStyle w:val="Listenabsatz"/>
              <w:numPr>
                <w:ilvl w:val="0"/>
                <w:numId w:val="21"/>
              </w:numPr>
              <w:ind w:left="266" w:hanging="266"/>
            </w:pPr>
            <w:r w:rsidRPr="00E934FA">
              <w:t>de</w:t>
            </w:r>
            <w:r w:rsidR="00B56402" w:rsidRPr="00E934FA">
              <w:t>r Aufsicht</w:t>
            </w:r>
            <w:r w:rsidR="001126EA" w:rsidRPr="00E934FA">
              <w:t xml:space="preserve"> der FINMA oder einer angemessenen </w:t>
            </w:r>
            <w:r w:rsidR="0020118F">
              <w:t xml:space="preserve">Aufsicht einer </w:t>
            </w:r>
            <w:r w:rsidR="001126EA" w:rsidRPr="00E934FA">
              <w:t xml:space="preserve">ausländischen </w:t>
            </w:r>
            <w:r w:rsidR="00E81C09">
              <w:t>Finanzmarkta</w:t>
            </w:r>
            <w:r w:rsidR="001126EA" w:rsidRPr="00E934FA">
              <w:t>ufsicht</w:t>
            </w:r>
            <w:r w:rsidR="00E81C09">
              <w:t>sbehörde</w:t>
            </w:r>
            <w:r w:rsidR="001126EA" w:rsidRPr="00E934FA">
              <w:t xml:space="preserve"> untersteht</w:t>
            </w:r>
            <w:r w:rsidR="00B56402" w:rsidRPr="00E934FA">
              <w:t>;</w:t>
            </w:r>
          </w:p>
          <w:p w:rsidR="00D90813" w:rsidRPr="00E934FA" w:rsidRDefault="0088322E" w:rsidP="00D90813">
            <w:pPr>
              <w:pStyle w:val="Listenabsatz"/>
              <w:numPr>
                <w:ilvl w:val="0"/>
                <w:numId w:val="21"/>
              </w:numPr>
              <w:ind w:left="266" w:hanging="266"/>
            </w:pPr>
            <w:r w:rsidRPr="00E934FA">
              <w:t xml:space="preserve">von </w:t>
            </w:r>
            <w:r w:rsidR="00B56402" w:rsidRPr="00E934FA">
              <w:t xml:space="preserve">einer </w:t>
            </w:r>
            <w:r w:rsidRPr="00E934FA">
              <w:t>schweizerischen Anlagestiftun</w:t>
            </w:r>
            <w:r w:rsidR="00B63476" w:rsidRPr="00E934FA">
              <w:t>g</w:t>
            </w:r>
            <w:r w:rsidR="00B56402" w:rsidRPr="00E934FA">
              <w:t xml:space="preserve"> </w:t>
            </w:r>
            <w:r w:rsidR="00F534F1" w:rsidRPr="00E934FA">
              <w:t xml:space="preserve">oder in deren Auftrag </w:t>
            </w:r>
            <w:r w:rsidR="00B56402" w:rsidRPr="00E934FA">
              <w:t xml:space="preserve">aufgelegt wurde; </w:t>
            </w:r>
            <w:r w:rsidR="00A84263" w:rsidRPr="00E934FA">
              <w:br/>
            </w:r>
            <w:r w:rsidR="00B56402" w:rsidRPr="00E934FA">
              <w:t>oder</w:t>
            </w:r>
          </w:p>
          <w:p w:rsidR="00B56402" w:rsidRPr="00E934FA" w:rsidRDefault="00B56402" w:rsidP="00D90813">
            <w:pPr>
              <w:pStyle w:val="Listenabsatz"/>
              <w:numPr>
                <w:ilvl w:val="0"/>
                <w:numId w:val="21"/>
              </w:numPr>
              <w:ind w:left="266" w:hanging="266"/>
            </w:pPr>
            <w:r w:rsidRPr="00E934FA">
              <w:t xml:space="preserve">von </w:t>
            </w:r>
            <w:r w:rsidR="00B63476" w:rsidRPr="00E934FA">
              <w:t xml:space="preserve">einer schweizerischen </w:t>
            </w:r>
            <w:r w:rsidRPr="00E934FA">
              <w:t>Anlagestiftung durch Kapital- oder Stimmenmehrheit beherrscht wird.</w:t>
            </w:r>
          </w:p>
          <w:p w:rsidR="0088322E" w:rsidRPr="00E934FA" w:rsidRDefault="0088322E" w:rsidP="0088322E">
            <w:pPr>
              <w:pStyle w:val="Listenabsatz"/>
              <w:ind w:left="1069"/>
            </w:pPr>
          </w:p>
          <w:p w:rsidR="00A15FD1" w:rsidRPr="00E934FA" w:rsidRDefault="00B934FC" w:rsidP="00B934FC">
            <w:pPr>
              <w:pStyle w:val="Listenabsatz"/>
              <w:ind w:left="0"/>
              <w:rPr>
                <w:i/>
              </w:rPr>
            </w:pPr>
            <w:r w:rsidRPr="00E934FA">
              <w:rPr>
                <w:i/>
              </w:rPr>
              <w:t>[Absatz 4 unverändert]</w:t>
            </w:r>
          </w:p>
        </w:tc>
        <w:tc>
          <w:tcPr>
            <w:tcW w:w="5079" w:type="dxa"/>
          </w:tcPr>
          <w:p w:rsidR="00A15FD1" w:rsidRPr="00E934FA" w:rsidRDefault="00DE0CDC" w:rsidP="005B748C">
            <w:pPr>
              <w:rPr>
                <w:u w:val="single"/>
              </w:rPr>
            </w:pPr>
            <w:r w:rsidRPr="00E934FA">
              <w:rPr>
                <w:u w:val="single"/>
              </w:rPr>
              <w:t>Art. 3</w:t>
            </w:r>
            <w:r w:rsidR="00F97705" w:rsidRPr="00E934FA">
              <w:rPr>
                <w:u w:val="single"/>
              </w:rPr>
              <w:t>0</w:t>
            </w:r>
            <w:r w:rsidR="00495A45">
              <w:rPr>
                <w:u w:val="single"/>
              </w:rPr>
              <w:t xml:space="preserve"> Abs. 3 </w:t>
            </w:r>
            <w:r w:rsidR="006E2B58" w:rsidRPr="00E934FA">
              <w:rPr>
                <w:u w:val="single"/>
              </w:rPr>
              <w:t>(</w:t>
            </w:r>
            <w:r w:rsidR="00C03BE5">
              <w:rPr>
                <w:u w:val="single"/>
              </w:rPr>
              <w:t>geltende Fassung</w:t>
            </w:r>
            <w:r w:rsidR="006E2B58" w:rsidRPr="00E934FA">
              <w:rPr>
                <w:u w:val="single"/>
              </w:rPr>
              <w:t>):</w:t>
            </w:r>
          </w:p>
          <w:p w:rsidR="005D1C82" w:rsidRDefault="00457CA3" w:rsidP="005B748C">
            <w:r w:rsidRPr="00E934FA">
              <w:t>Der von Absatz 3 der geltenden Fassung anvisierte Schutz im Rahmen einer Anlage in kollektive Anlage</w:t>
            </w:r>
            <w:r w:rsidR="00A2314D" w:rsidRPr="00E934FA">
              <w:t>n ist nicht nur</w:t>
            </w:r>
            <w:r w:rsidRPr="00E934FA">
              <w:t xml:space="preserve"> dann gegeben, wenn</w:t>
            </w:r>
            <w:r w:rsidR="00A2314D" w:rsidRPr="00E934FA">
              <w:t xml:space="preserve"> die kollektive Anlage von einer Anlagestiftung mit Sitz in der Schweiz aufgelegt wurde, sondern auch dann, wenn sie von einer Anlagestiftung mit Sitz </w:t>
            </w:r>
            <w:r w:rsidR="00CE07AF">
              <w:t>in der Schweiz beherrscht wird (vgl. Abs. 3 lit. c des Vorschlags).</w:t>
            </w:r>
            <w:r w:rsidR="005D1C82">
              <w:t xml:space="preserve"> Zudem ist der Schutz auch dann erreicht, wenn eine der drei alternativen Voraussetzungen (vgl. Vorschlag lit. a –c) auf die Leitung oder Vermögensverwaltungsgesellschaft der kollektiven Anlage oder auf ein segregiertes Teilvermögen, in das die Stiftung investiert, erfüllt ist.</w:t>
            </w:r>
            <w:r w:rsidR="00127C75">
              <w:t xml:space="preserve"> Bei der angemessenen Aufsicht </w:t>
            </w:r>
            <w:r w:rsidR="00E37C12">
              <w:t xml:space="preserve">einer </w:t>
            </w:r>
            <w:r w:rsidR="0020118F">
              <w:t xml:space="preserve">ausländischen Finanzmarktaufsichtsbehörde </w:t>
            </w:r>
            <w:r w:rsidR="00127C75">
              <w:t>gemäss Abs. 3 lit.</w:t>
            </w:r>
            <w:r w:rsidR="0020118F">
              <w:t xml:space="preserve"> a des Vorschlags </w:t>
            </w:r>
            <w:r w:rsidR="000750E9">
              <w:t>ist</w:t>
            </w:r>
            <w:r w:rsidR="00127C75">
              <w:t xml:space="preserve"> in erster Linie </w:t>
            </w:r>
            <w:r w:rsidR="000750E9">
              <w:t xml:space="preserve">an </w:t>
            </w:r>
            <w:r w:rsidR="00E37C12">
              <w:t xml:space="preserve">die </w:t>
            </w:r>
            <w:r w:rsidR="003359ED">
              <w:t>Finanzmarkta</w:t>
            </w:r>
            <w:r w:rsidR="00545AFA">
              <w:t xml:space="preserve">ufsicht in </w:t>
            </w:r>
            <w:r w:rsidR="00127C75">
              <w:t>OECD-Staaten zu denken.</w:t>
            </w:r>
          </w:p>
          <w:p w:rsidR="006E2B58" w:rsidRDefault="00A2314D" w:rsidP="005D1C82">
            <w:r w:rsidRPr="00E934FA">
              <w:t>Diese Ergänzung</w:t>
            </w:r>
            <w:r w:rsidR="005D1C82">
              <w:t>en entsprechen</w:t>
            </w:r>
            <w:r w:rsidRPr="00E934FA">
              <w:t xml:space="preserve"> einem </w:t>
            </w:r>
            <w:r w:rsidR="005D1C82">
              <w:t xml:space="preserve">regen </w:t>
            </w:r>
            <w:r w:rsidRPr="00E934FA">
              <w:t>praktischen Bedürfnis und sollte</w:t>
            </w:r>
            <w:r w:rsidR="005D1C82">
              <w:t>n, insbesondere im Lichte des verfassungsmässigen Verhältnismässigkeitsprinzips,</w:t>
            </w:r>
            <w:r w:rsidRPr="00E934FA">
              <w:t xml:space="preserve"> Eingang in die Verordnung finden.</w:t>
            </w:r>
          </w:p>
          <w:p w:rsidR="001751DA" w:rsidRPr="00E934FA" w:rsidRDefault="001751DA" w:rsidP="005D1C82">
            <w:r>
              <w:t>Vgl. Abs. 3 des Vorschlags.</w:t>
            </w:r>
          </w:p>
        </w:tc>
      </w:tr>
      <w:tr w:rsidR="0094178B" w:rsidRPr="00E934FA" w:rsidTr="00E432EB">
        <w:tc>
          <w:tcPr>
            <w:tcW w:w="4270" w:type="dxa"/>
          </w:tcPr>
          <w:p w:rsidR="0094178B" w:rsidRPr="00E934FA" w:rsidRDefault="00CC2B15" w:rsidP="001D44DF">
            <w:pPr>
              <w:pStyle w:val="Listenabsatz"/>
              <w:ind w:left="851" w:hanging="851"/>
              <w:rPr>
                <w:b/>
              </w:rPr>
            </w:pPr>
            <w:r>
              <w:rPr>
                <w:b/>
              </w:rPr>
              <w:t>Art. 32</w:t>
            </w:r>
          </w:p>
        </w:tc>
        <w:tc>
          <w:tcPr>
            <w:tcW w:w="4303" w:type="dxa"/>
          </w:tcPr>
          <w:p w:rsidR="0094178B" w:rsidRPr="00E934FA" w:rsidRDefault="00CC2B15" w:rsidP="0088322E">
            <w:pPr>
              <w:pStyle w:val="Listenabsatz"/>
              <w:ind w:left="0"/>
              <w:rPr>
                <w:i/>
              </w:rPr>
            </w:pPr>
            <w:r w:rsidRPr="00E934FA">
              <w:rPr>
                <w:i/>
              </w:rPr>
              <w:t>[Keine Änderungen]</w:t>
            </w:r>
          </w:p>
        </w:tc>
        <w:tc>
          <w:tcPr>
            <w:tcW w:w="5079" w:type="dxa"/>
          </w:tcPr>
          <w:p w:rsidR="0094178B" w:rsidRPr="00E934FA" w:rsidRDefault="0094178B" w:rsidP="005B748C">
            <w:pPr>
              <w:rPr>
                <w:highlight w:val="yellow"/>
              </w:rPr>
            </w:pPr>
          </w:p>
        </w:tc>
      </w:tr>
      <w:tr w:rsidR="001D44DF" w:rsidRPr="00E934FA" w:rsidTr="00E432EB">
        <w:tc>
          <w:tcPr>
            <w:tcW w:w="4270" w:type="dxa"/>
          </w:tcPr>
          <w:p w:rsidR="001D44DF" w:rsidRPr="00E934FA" w:rsidRDefault="00A3385F" w:rsidP="001D44DF">
            <w:pPr>
              <w:pStyle w:val="Listenabsatz"/>
              <w:ind w:left="851" w:hanging="851"/>
            </w:pPr>
            <w:r w:rsidRPr="00E934FA">
              <w:rPr>
                <w:b/>
              </w:rPr>
              <w:t>Art. 33</w:t>
            </w:r>
            <w:r w:rsidR="001D44DF" w:rsidRPr="00E934FA">
              <w:rPr>
                <w:b/>
              </w:rPr>
              <w:t xml:space="preserve"> </w:t>
            </w:r>
            <w:r w:rsidR="001D44DF" w:rsidRPr="00E934FA">
              <w:rPr>
                <w:b/>
              </w:rPr>
              <w:tab/>
            </w:r>
            <w:r w:rsidRPr="00E934FA">
              <w:t>Tochtergesellschaften von Immobilien-Anlagegruppen</w:t>
            </w:r>
          </w:p>
          <w:p w:rsidR="001D44DF" w:rsidRPr="00E934FA" w:rsidRDefault="001D44DF" w:rsidP="001D44DF">
            <w:pPr>
              <w:pStyle w:val="Listenabsatz"/>
              <w:ind w:left="0"/>
              <w:rPr>
                <w:b/>
              </w:rPr>
            </w:pPr>
          </w:p>
          <w:p w:rsidR="005835B7" w:rsidRPr="00E934FA" w:rsidRDefault="003F174E" w:rsidP="005835B7">
            <w:pPr>
              <w:pStyle w:val="Listenabsatz"/>
              <w:ind w:left="0"/>
            </w:pPr>
            <w:r w:rsidRPr="00E934FA">
              <w:rPr>
                <w:vertAlign w:val="superscript"/>
              </w:rPr>
              <w:t>1</w:t>
            </w:r>
            <w:r w:rsidRPr="00E934FA">
              <w:t xml:space="preserve"> Der Zwec</w:t>
            </w:r>
            <w:r w:rsidR="005835B7" w:rsidRPr="00E934FA">
              <w:t xml:space="preserve">k von Objektgesellschaften darf </w:t>
            </w:r>
            <w:r w:rsidRPr="00E934FA">
              <w:t>einzi</w:t>
            </w:r>
            <w:r w:rsidR="005835B7" w:rsidRPr="00E934FA">
              <w:t xml:space="preserve">g im Erwerb, im Verkauf, in der </w:t>
            </w:r>
            <w:r w:rsidRPr="00E934FA">
              <w:t>Vermietung oder der Verpachtun</w:t>
            </w:r>
            <w:r w:rsidR="005835B7" w:rsidRPr="00E934FA">
              <w:t>g eigener Grundstücke bestehen.</w:t>
            </w:r>
          </w:p>
          <w:p w:rsidR="005835B7" w:rsidRPr="00E934FA" w:rsidRDefault="005835B7" w:rsidP="005835B7">
            <w:pPr>
              <w:pStyle w:val="Listenabsatz"/>
              <w:ind w:left="0"/>
            </w:pPr>
          </w:p>
          <w:p w:rsidR="003F174E" w:rsidRPr="00E934FA" w:rsidRDefault="005835B7" w:rsidP="005835B7">
            <w:pPr>
              <w:pStyle w:val="Listenabsatz"/>
              <w:ind w:left="0"/>
            </w:pPr>
            <w:r w:rsidRPr="00E934FA">
              <w:rPr>
                <w:vertAlign w:val="superscript"/>
              </w:rPr>
              <w:t>2</w:t>
            </w:r>
            <w:r w:rsidRPr="00E934FA">
              <w:t xml:space="preserve"> </w:t>
            </w:r>
            <w:r w:rsidR="003F174E" w:rsidRPr="00E934FA">
              <w:t>Tochtergesellschaften von Im</w:t>
            </w:r>
            <w:r w:rsidR="0005520B">
              <w:t>mobilien-</w:t>
            </w:r>
            <w:r w:rsidR="003F174E" w:rsidRPr="00E934FA">
              <w:t>Anlagegruppen müssen im Alleineigentum</w:t>
            </w:r>
            <w:r w:rsidRPr="00E934FA">
              <w:t xml:space="preserve"> </w:t>
            </w:r>
            <w:r w:rsidR="003F174E" w:rsidRPr="00E934FA">
              <w:t>der Stiftung st</w:t>
            </w:r>
            <w:r w:rsidRPr="00E934FA">
              <w:t xml:space="preserve">ehen, Tochtergesellschaften von </w:t>
            </w:r>
            <w:r w:rsidR="003F174E" w:rsidRPr="00E934FA">
              <w:t>Hol</w:t>
            </w:r>
            <w:r w:rsidRPr="00E934FA">
              <w:t xml:space="preserve">dinggesellschaften in deren </w:t>
            </w:r>
            <w:r w:rsidR="003F174E" w:rsidRPr="00E934FA">
              <w:t>Alleineigentum.</w:t>
            </w:r>
          </w:p>
          <w:p w:rsidR="005835B7" w:rsidRPr="00E934FA" w:rsidRDefault="005835B7" w:rsidP="005835B7">
            <w:pPr>
              <w:pStyle w:val="Listenabsatz"/>
              <w:ind w:left="0"/>
            </w:pPr>
          </w:p>
          <w:p w:rsidR="005835B7" w:rsidRPr="00E934FA" w:rsidRDefault="003F174E" w:rsidP="005835B7">
            <w:pPr>
              <w:pStyle w:val="Listenabsatz"/>
              <w:ind w:left="0"/>
            </w:pPr>
            <w:r w:rsidRPr="00E934FA">
              <w:rPr>
                <w:vertAlign w:val="superscript"/>
              </w:rPr>
              <w:t>3</w:t>
            </w:r>
            <w:r w:rsidRPr="00E934FA">
              <w:t xml:space="preserve"> Sofern die ausländische Gesetzgebung Alleineigen</w:t>
            </w:r>
            <w:r w:rsidR="005835B7" w:rsidRPr="00E934FA">
              <w:t xml:space="preserve">tum an einer Objektgesellschaft </w:t>
            </w:r>
            <w:r w:rsidRPr="00E934FA">
              <w:t>verunmöglicht oder Alleineigentum an Objektgesellschaften erhebliche wirtschaftl</w:t>
            </w:r>
            <w:r w:rsidR="005835B7" w:rsidRPr="00E934FA">
              <w:t xml:space="preserve">iche </w:t>
            </w:r>
            <w:r w:rsidRPr="00E934FA">
              <w:t>Nachteile zur Folge hätte, sind Abweichun</w:t>
            </w:r>
            <w:r w:rsidR="005835B7" w:rsidRPr="00E934FA">
              <w:t xml:space="preserve">gen von Absatz 2 zulässig. Der Anteil von </w:t>
            </w:r>
            <w:r w:rsidRPr="00E934FA">
              <w:t>nicht im Alleineigentum gehaltenen Objekt</w:t>
            </w:r>
            <w:r w:rsidR="005835B7" w:rsidRPr="00E934FA">
              <w:t xml:space="preserve">gesellschaften darf in der Regel höchstens 50 </w:t>
            </w:r>
            <w:r w:rsidRPr="00E934FA">
              <w:t>Prozent des Vermögens der Anla</w:t>
            </w:r>
            <w:r w:rsidR="005835B7" w:rsidRPr="00E934FA">
              <w:t xml:space="preserve">gegruppe </w:t>
            </w:r>
            <w:r w:rsidRPr="00E934FA">
              <w:t>be</w:t>
            </w:r>
            <w:r w:rsidR="005835B7" w:rsidRPr="00E934FA">
              <w:t>tragen.</w:t>
            </w:r>
          </w:p>
          <w:p w:rsidR="005835B7" w:rsidRPr="00E934FA" w:rsidRDefault="005835B7" w:rsidP="005835B7">
            <w:pPr>
              <w:pStyle w:val="Listenabsatz"/>
              <w:ind w:left="0"/>
            </w:pPr>
          </w:p>
          <w:p w:rsidR="005835B7" w:rsidRPr="00E934FA" w:rsidRDefault="003F174E" w:rsidP="005835B7">
            <w:pPr>
              <w:pStyle w:val="Listenabsatz"/>
              <w:ind w:left="0"/>
            </w:pPr>
            <w:r w:rsidRPr="00E934FA">
              <w:rPr>
                <w:vertAlign w:val="superscript"/>
              </w:rPr>
              <w:t>4</w:t>
            </w:r>
            <w:r w:rsidRPr="00E934FA">
              <w:t xml:space="preserve"> Die Anlagegruppe oder ihre Holdinggesellschaften können ihren Tochterge</w:t>
            </w:r>
            <w:r w:rsidR="005835B7" w:rsidRPr="00E934FA">
              <w:t xml:space="preserve">sellschaften </w:t>
            </w:r>
            <w:r w:rsidRPr="00E934FA">
              <w:t>Darlehen gewähren.</w:t>
            </w:r>
          </w:p>
          <w:p w:rsidR="005835B7" w:rsidRPr="00E934FA" w:rsidRDefault="005835B7" w:rsidP="005835B7">
            <w:pPr>
              <w:pStyle w:val="Listenabsatz"/>
              <w:ind w:left="0"/>
            </w:pPr>
          </w:p>
          <w:p w:rsidR="005835B7" w:rsidRPr="00E934FA" w:rsidRDefault="005835B7" w:rsidP="005835B7">
            <w:pPr>
              <w:pStyle w:val="Listenabsatz"/>
              <w:ind w:left="0"/>
            </w:pPr>
            <w:r w:rsidRPr="00E934FA">
              <w:rPr>
                <w:vertAlign w:val="superscript"/>
              </w:rPr>
              <w:t>5</w:t>
            </w:r>
            <w:r w:rsidRPr="00E934FA">
              <w:t xml:space="preserve"> Sie können für ihre Tochtergesellschaften Garantien abgeben oder Bürgschaften eingehen. Die Garantien und Bürgschaften dürfen gesamthaft entweder die Höhe der liquiden Mittel der Anlagegruppe oder 5 Prozent des Vermögens der Anlagegruppe nicht überschreiten und nur für kurzfristige Finanzierungszusagen oder Überbrückungsfinanzierungen abgegeben werden.</w:t>
            </w:r>
          </w:p>
          <w:p w:rsidR="005835B7" w:rsidRPr="00E934FA" w:rsidRDefault="005835B7" w:rsidP="005835B7">
            <w:pPr>
              <w:pStyle w:val="Listenabsatz"/>
              <w:ind w:left="0"/>
            </w:pPr>
          </w:p>
          <w:p w:rsidR="005835B7" w:rsidRPr="00E934FA" w:rsidRDefault="005835B7" w:rsidP="005835B7">
            <w:pPr>
              <w:pStyle w:val="Listenabsatz"/>
              <w:ind w:left="0"/>
            </w:pPr>
            <w:r w:rsidRPr="00E934FA">
              <w:rPr>
                <w:vertAlign w:val="superscript"/>
              </w:rPr>
              <w:t>6</w:t>
            </w:r>
            <w:r w:rsidRPr="00E934FA">
              <w:t xml:space="preserve"> In die Beurteilung, ob die Artikel 26 und 27 sowie die Anlagerichtlinien eingehalten werden, sind die in den Tochtergesellschaften gehaltenen Anlagen einzubeziehen.</w:t>
            </w:r>
          </w:p>
        </w:tc>
        <w:tc>
          <w:tcPr>
            <w:tcW w:w="4303" w:type="dxa"/>
          </w:tcPr>
          <w:p w:rsidR="00CC2B15" w:rsidRPr="00E934FA" w:rsidRDefault="00CC2B15" w:rsidP="00CC2B15">
            <w:pPr>
              <w:pStyle w:val="Listenabsatz"/>
              <w:ind w:left="851" w:hanging="851"/>
            </w:pPr>
            <w:r w:rsidRPr="00E934FA">
              <w:rPr>
                <w:b/>
              </w:rPr>
              <w:t xml:space="preserve">Art. 33 </w:t>
            </w:r>
            <w:r w:rsidRPr="00E934FA">
              <w:rPr>
                <w:b/>
              </w:rPr>
              <w:tab/>
            </w:r>
            <w:r w:rsidRPr="00E934FA">
              <w:t>Tochtergesellschaften von Immobilien-Anlagegruppen</w:t>
            </w:r>
          </w:p>
          <w:p w:rsidR="00CC2B15" w:rsidRDefault="00CC2B15" w:rsidP="0088322E">
            <w:pPr>
              <w:pStyle w:val="Listenabsatz"/>
              <w:ind w:left="0"/>
              <w:rPr>
                <w:i/>
              </w:rPr>
            </w:pPr>
          </w:p>
          <w:p w:rsidR="001D44DF" w:rsidRPr="00E934FA" w:rsidRDefault="00071116" w:rsidP="0088322E">
            <w:pPr>
              <w:pStyle w:val="Listenabsatz"/>
              <w:ind w:left="0"/>
              <w:rPr>
                <w:i/>
              </w:rPr>
            </w:pPr>
            <w:r w:rsidRPr="00E934FA">
              <w:rPr>
                <w:i/>
              </w:rPr>
              <w:t>[Absatz 1 unverändert]</w:t>
            </w:r>
          </w:p>
          <w:p w:rsidR="00071116" w:rsidRPr="00E934FA" w:rsidRDefault="00071116" w:rsidP="001F289D">
            <w:pPr>
              <w:pStyle w:val="Listenabsatz"/>
              <w:ind w:left="0"/>
              <w:rPr>
                <w:vertAlign w:val="superscript"/>
              </w:rPr>
            </w:pPr>
          </w:p>
          <w:p w:rsidR="00A3385F" w:rsidRPr="00E934FA" w:rsidRDefault="00A3385F" w:rsidP="001F289D">
            <w:pPr>
              <w:pStyle w:val="Listenabsatz"/>
              <w:ind w:left="0"/>
            </w:pPr>
            <w:r w:rsidRPr="00E934FA">
              <w:rPr>
                <w:vertAlign w:val="superscript"/>
              </w:rPr>
              <w:t>2</w:t>
            </w:r>
            <w:r w:rsidRPr="00E934FA">
              <w:t xml:space="preserve"> Tochtergesellschaften von Immobilien-Anlagegruppen müssen von der Stiftung durch Kapital- und Stimmenmehrheit beherrscht werden.</w:t>
            </w:r>
            <w:r w:rsidR="006D6514" w:rsidRPr="00E934FA">
              <w:t xml:space="preserve"> </w:t>
            </w:r>
            <w:r w:rsidR="001F289D" w:rsidRPr="00E934FA">
              <w:t>Holdinggesellschaften müssen sämtliche Anteile an ihren Tochtergesellschaften halten.</w:t>
            </w:r>
          </w:p>
          <w:p w:rsidR="00071116" w:rsidRPr="00E934FA" w:rsidRDefault="00071116" w:rsidP="001F289D">
            <w:pPr>
              <w:pStyle w:val="Listenabsatz"/>
              <w:ind w:left="0"/>
            </w:pPr>
          </w:p>
          <w:p w:rsidR="00071116" w:rsidRPr="00E934FA" w:rsidRDefault="00071116" w:rsidP="001F289D">
            <w:pPr>
              <w:pStyle w:val="Listenabsatz"/>
              <w:ind w:left="0"/>
            </w:pPr>
            <w:r w:rsidRPr="00E934FA">
              <w:rPr>
                <w:vertAlign w:val="superscript"/>
              </w:rPr>
              <w:t>3</w:t>
            </w:r>
            <w:r w:rsidRPr="00E934FA">
              <w:t xml:space="preserve"> </w:t>
            </w:r>
            <w:r w:rsidR="000D32AA" w:rsidRPr="00E934FA">
              <w:t xml:space="preserve">Eine Ausnahme von Absatz 2 besteht für Gemeinschaftsprojekte (Joint Ventures), sofern der Kapital- und Stimmenanteil an der Joint-Venture-Gesellschaft mindestens 50 Prozent beträgt und die Stiftung vertraglich mit dem Joint-Venture-Partner sicherstellt, dass die Interessen der Anleger der Stiftung nicht beeinträchtigt werden. Weitere Ausnahmen von Absatz 2 sind zulässig, sofern die ausländische Gesetzgebung </w:t>
            </w:r>
            <w:r w:rsidR="00C22DF8" w:rsidRPr="00E934FA">
              <w:t xml:space="preserve">eine </w:t>
            </w:r>
            <w:r w:rsidR="000D32AA" w:rsidRPr="00E934FA">
              <w:t xml:space="preserve">Beherrschung an einer Objektgesellschaft verunmöglicht oder </w:t>
            </w:r>
            <w:r w:rsidR="00C22DF8" w:rsidRPr="00E934FA">
              <w:t xml:space="preserve">eine </w:t>
            </w:r>
            <w:r w:rsidR="000D32AA" w:rsidRPr="00E934FA">
              <w:t xml:space="preserve">Beherrschung an Objektgesellschaften erhebliche wirtschaftliche Nachteile zur Folge hätte. </w:t>
            </w:r>
            <w:r w:rsidRPr="00E934FA">
              <w:t>Der Anteil von Objektgesellschaften</w:t>
            </w:r>
            <w:r w:rsidR="00165403">
              <w:t>, deren Anteile</w:t>
            </w:r>
            <w:r w:rsidR="000D32AA" w:rsidRPr="00E934FA">
              <w:t xml:space="preserve"> nicht zu 100 Prozent von der Stiftung gehalten werden,</w:t>
            </w:r>
            <w:r w:rsidRPr="00E934FA">
              <w:t xml:space="preserve"> darf </w:t>
            </w:r>
            <w:r w:rsidR="00165403">
              <w:t xml:space="preserve">in der Regel </w:t>
            </w:r>
            <w:r w:rsidRPr="00E934FA">
              <w:t>höchstens 50 Prozent des Vermögens der Anlagegruppe betragen.</w:t>
            </w:r>
          </w:p>
          <w:p w:rsidR="001F289D" w:rsidRPr="00E934FA" w:rsidRDefault="001F289D" w:rsidP="001F289D">
            <w:pPr>
              <w:pStyle w:val="Listenabsatz"/>
              <w:ind w:left="0"/>
            </w:pPr>
          </w:p>
          <w:p w:rsidR="001F289D" w:rsidRPr="00E934FA" w:rsidRDefault="001F289D" w:rsidP="001F289D">
            <w:pPr>
              <w:pStyle w:val="Listenabsatz"/>
              <w:ind w:left="0"/>
              <w:rPr>
                <w:i/>
              </w:rPr>
            </w:pPr>
            <w:r w:rsidRPr="00E934FA">
              <w:rPr>
                <w:i/>
              </w:rPr>
              <w:t>[Absätze 4–6 unverändert]</w:t>
            </w:r>
          </w:p>
        </w:tc>
        <w:tc>
          <w:tcPr>
            <w:tcW w:w="5079" w:type="dxa"/>
          </w:tcPr>
          <w:p w:rsidR="001751DA" w:rsidRPr="001751DA" w:rsidRDefault="001751DA" w:rsidP="0005520B">
            <w:pPr>
              <w:rPr>
                <w:u w:val="single"/>
              </w:rPr>
            </w:pPr>
            <w:r w:rsidRPr="00E934FA">
              <w:rPr>
                <w:u w:val="single"/>
              </w:rPr>
              <w:t>Art. 3</w:t>
            </w:r>
            <w:r>
              <w:rPr>
                <w:u w:val="single"/>
              </w:rPr>
              <w:t xml:space="preserve">3 </w:t>
            </w:r>
            <w:r w:rsidRPr="00E934FA">
              <w:rPr>
                <w:u w:val="single"/>
              </w:rPr>
              <w:t>(</w:t>
            </w:r>
            <w:r>
              <w:rPr>
                <w:u w:val="single"/>
              </w:rPr>
              <w:t>geltende Fassung</w:t>
            </w:r>
            <w:r w:rsidRPr="00E934FA">
              <w:rPr>
                <w:u w:val="single"/>
              </w:rPr>
              <w:t>):</w:t>
            </w:r>
          </w:p>
          <w:p w:rsidR="001D44DF" w:rsidRDefault="0005520B" w:rsidP="0005520B">
            <w:pPr>
              <w:rPr>
                <w:lang w:eastAsia="de-CH"/>
              </w:rPr>
            </w:pPr>
            <w:r>
              <w:rPr>
                <w:lang w:eastAsia="de-CH"/>
              </w:rPr>
              <w:t>Die Regelung, dass Tochtergesellschaften von Immobilien-Anlagegruppen im "Alleineigentum" zu halten sind, schränkt</w:t>
            </w:r>
            <w:r w:rsidRPr="00E934FA">
              <w:rPr>
                <w:lang w:eastAsia="de-CH"/>
              </w:rPr>
              <w:t xml:space="preserve"> die Organisationsfreiheit der Anlagestiftungen ohne ausreichende Begrün</w:t>
            </w:r>
            <w:r>
              <w:rPr>
                <w:lang w:eastAsia="de-CH"/>
              </w:rPr>
              <w:t>dung ein und verstösst</w:t>
            </w:r>
            <w:r w:rsidRPr="00E934FA">
              <w:rPr>
                <w:lang w:eastAsia="de-CH"/>
              </w:rPr>
              <w:t xml:space="preserve"> damit gegen das Verhältnismässigkeitsprinzip, die Eigentumsgarantie und die Wirtschaftsfreiheit.</w:t>
            </w:r>
          </w:p>
          <w:p w:rsidR="007C13F8" w:rsidRDefault="0005520B" w:rsidP="0005520B">
            <w:r>
              <w:t>Dem Sinn und Zweck, ein ausreichendes Mass an Unabhängigkeit der Stiftung zu wahren, wird – in verhältnismässiger Weise – durch das Erfordernis der Beherrschung (Kapital und Stimmen) Genüge getan.</w:t>
            </w:r>
            <w:r w:rsidR="007C13F8">
              <w:t xml:space="preserve"> Bei  Joint Ventures, die einem regen praktischen Interesse entsprechen, sollte diese Unabhängigkeit auf vertraglicher Basis sichergesellt werden können.</w:t>
            </w:r>
          </w:p>
          <w:p w:rsidR="001751DA" w:rsidRPr="00E934FA" w:rsidRDefault="001751DA" w:rsidP="0005520B">
            <w:r>
              <w:t>Vgl. Abs. 2 und 3 des Vorschlags.</w:t>
            </w:r>
          </w:p>
        </w:tc>
      </w:tr>
      <w:tr w:rsidR="00174BA8" w:rsidRPr="00E934FA" w:rsidTr="00E432EB">
        <w:tc>
          <w:tcPr>
            <w:tcW w:w="4270" w:type="dxa"/>
          </w:tcPr>
          <w:p w:rsidR="00174BA8" w:rsidRPr="00E934FA" w:rsidRDefault="00CC2B15" w:rsidP="00790FF9">
            <w:pPr>
              <w:pStyle w:val="Listenabsatz"/>
              <w:ind w:left="0"/>
              <w:rPr>
                <w:b/>
              </w:rPr>
            </w:pPr>
            <w:r>
              <w:rPr>
                <w:b/>
              </w:rPr>
              <w:t xml:space="preserve">Art. </w:t>
            </w:r>
            <w:r w:rsidR="00174BA8" w:rsidRPr="00E934FA">
              <w:rPr>
                <w:b/>
              </w:rPr>
              <w:t>34</w:t>
            </w:r>
          </w:p>
        </w:tc>
        <w:tc>
          <w:tcPr>
            <w:tcW w:w="4303" w:type="dxa"/>
          </w:tcPr>
          <w:p w:rsidR="00174BA8" w:rsidRPr="00E934FA" w:rsidRDefault="00174BA8" w:rsidP="0088322E">
            <w:pPr>
              <w:pStyle w:val="Listenabsatz"/>
              <w:ind w:left="0"/>
              <w:rPr>
                <w:b/>
              </w:rPr>
            </w:pPr>
            <w:r w:rsidRPr="00E934FA">
              <w:rPr>
                <w:i/>
              </w:rPr>
              <w:t>[Keine Änderungen]</w:t>
            </w:r>
          </w:p>
        </w:tc>
        <w:tc>
          <w:tcPr>
            <w:tcW w:w="5079" w:type="dxa"/>
          </w:tcPr>
          <w:p w:rsidR="00174BA8" w:rsidRPr="00E934FA" w:rsidRDefault="00174BA8" w:rsidP="005B748C">
            <w:pPr>
              <w:rPr>
                <w:u w:val="single"/>
              </w:rPr>
            </w:pPr>
          </w:p>
        </w:tc>
      </w:tr>
      <w:tr w:rsidR="0019759C" w:rsidRPr="00E934FA" w:rsidTr="00E432EB">
        <w:tc>
          <w:tcPr>
            <w:tcW w:w="4270" w:type="dxa"/>
          </w:tcPr>
          <w:p w:rsidR="0019759C" w:rsidRPr="00E934FA" w:rsidRDefault="0019759C" w:rsidP="00790FF9">
            <w:pPr>
              <w:pStyle w:val="Listenabsatz"/>
              <w:ind w:left="0"/>
              <w:rPr>
                <w:b/>
              </w:rPr>
            </w:pPr>
            <w:r w:rsidRPr="00E934FA">
              <w:rPr>
                <w:b/>
              </w:rPr>
              <w:t>11.–14. Abschnitt</w:t>
            </w:r>
          </w:p>
        </w:tc>
        <w:tc>
          <w:tcPr>
            <w:tcW w:w="4303" w:type="dxa"/>
          </w:tcPr>
          <w:p w:rsidR="0019759C" w:rsidRPr="00E934FA" w:rsidRDefault="0019759C" w:rsidP="0088322E">
            <w:pPr>
              <w:pStyle w:val="Listenabsatz"/>
              <w:ind w:left="0"/>
              <w:rPr>
                <w:i/>
              </w:rPr>
            </w:pPr>
            <w:r w:rsidRPr="00E934FA">
              <w:rPr>
                <w:i/>
              </w:rPr>
              <w:t>[Keine Änderungen]</w:t>
            </w:r>
          </w:p>
        </w:tc>
        <w:tc>
          <w:tcPr>
            <w:tcW w:w="5079" w:type="dxa"/>
          </w:tcPr>
          <w:p w:rsidR="0019759C" w:rsidRPr="00E934FA" w:rsidRDefault="0019759C" w:rsidP="005B748C">
            <w:pPr>
              <w:rPr>
                <w:u w:val="single"/>
              </w:rPr>
            </w:pPr>
          </w:p>
        </w:tc>
      </w:tr>
    </w:tbl>
    <w:p w:rsidR="009A6AD6" w:rsidRPr="00E934FA" w:rsidRDefault="009A6AD6" w:rsidP="009A6AD6">
      <w:pPr>
        <w:jc w:val="center"/>
      </w:pPr>
      <w:r>
        <w:t>***</w:t>
      </w:r>
    </w:p>
    <w:sectPr w:rsidR="009A6AD6" w:rsidRPr="00E934FA" w:rsidSect="00F04193">
      <w:headerReference w:type="default" r:id="rId8"/>
      <w:footerReference w:type="default" r:id="rId9"/>
      <w:headerReference w:type="first" r:id="rId10"/>
      <w:footerReference w:type="first" r:id="rId11"/>
      <w:pgSz w:w="16838" w:h="11906" w:orient="landscape" w:code="9"/>
      <w:pgMar w:top="1474" w:right="1928" w:bottom="1474" w:left="1474" w:header="697" w:footer="39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1B3C" w:rsidRDefault="00F01B3C" w:rsidP="00932380">
      <w:pPr>
        <w:spacing w:after="0" w:line="240" w:lineRule="auto"/>
      </w:pPr>
      <w:r>
        <w:separator/>
      </w:r>
    </w:p>
  </w:endnote>
  <w:endnote w:type="continuationSeparator" w:id="0">
    <w:p w:rsidR="00F01B3C" w:rsidRDefault="00F01B3C" w:rsidP="00932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Lt">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B3C" w:rsidRPr="00DB53AA" w:rsidRDefault="00F01B3C" w:rsidP="00336B45">
    <w:pPr>
      <w:pStyle w:val="Fuzeile"/>
      <w:tabs>
        <w:tab w:val="clear" w:pos="4536"/>
        <w:tab w:val="clear" w:pos="9072"/>
        <w:tab w:val="right" w:pos="12900"/>
      </w:tabs>
      <w:spacing w:after="0" w:line="220" w:lineRule="exact"/>
    </w:pPr>
    <w:r w:rsidRPr="00DB53AA">
      <w:tab/>
    </w:r>
    <w:r w:rsidRPr="00DB53AA">
      <w:fldChar w:fldCharType="begin"/>
    </w:r>
    <w:r w:rsidRPr="00DB53AA">
      <w:instrText xml:space="preserve"> PAGE  \* Arabic  \* MERGEFORMAT </w:instrText>
    </w:r>
    <w:r w:rsidRPr="00DB53AA">
      <w:fldChar w:fldCharType="separate"/>
    </w:r>
    <w:r w:rsidR="00DC4D82">
      <w:rPr>
        <w:noProof/>
      </w:rPr>
      <w:t>20</w:t>
    </w:r>
    <w:r w:rsidRPr="00DB53AA">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B3C" w:rsidRPr="00C8740F" w:rsidRDefault="00F01B3C" w:rsidP="00DB53AA">
    <w:pPr>
      <w:pStyle w:val="Fuzeile"/>
      <w:tabs>
        <w:tab w:val="clear" w:pos="4536"/>
      </w:tabs>
      <w:spacing w:after="0" w:line="240" w:lineRule="auto"/>
      <w:rPr>
        <w:rFonts w:ascii="Arial" w:hAnsi="Arial" w:cs="Arial"/>
        <w:sz w:val="12"/>
        <w:szCs w:val="12"/>
        <w:lang w:val="de-DE"/>
      </w:rPr>
    </w:pPr>
    <w:r>
      <w:rPr>
        <w:rFonts w:ascii="Arial" w:hAnsi="Arial" w:cs="Arial"/>
        <w:sz w:val="12"/>
        <w:szCs w:val="12"/>
        <w:lang w:val="de-DE"/>
      </w:rPr>
      <w:fldChar w:fldCharType="begin"/>
    </w:r>
    <w:r>
      <w:rPr>
        <w:rFonts w:ascii="Arial" w:hAnsi="Arial" w:cs="Arial"/>
        <w:sz w:val="12"/>
        <w:szCs w:val="12"/>
        <w:lang w:val="de-DE"/>
      </w:rPr>
      <w:instrText xml:space="preserve"> DOCVARIABLE  DocNumberVersion  \* MERGEFORMAT </w:instrText>
    </w:r>
    <w:r>
      <w:rPr>
        <w:rFonts w:ascii="Arial" w:hAnsi="Arial" w:cs="Arial"/>
        <w:sz w:val="12"/>
        <w:szCs w:val="12"/>
        <w:lang w:val="de-DE"/>
      </w:rPr>
      <w:fldChar w:fldCharType="separate"/>
    </w:r>
    <w:r w:rsidR="009B731C">
      <w:rPr>
        <w:rFonts w:ascii="Arial" w:hAnsi="Arial" w:cs="Arial"/>
        <w:sz w:val="12"/>
        <w:szCs w:val="12"/>
        <w:lang w:val="de-DE"/>
      </w:rPr>
      <w:t>8934550v1</w:t>
    </w:r>
    <w:r>
      <w:rPr>
        <w:rFonts w:ascii="Arial" w:hAnsi="Arial" w:cs="Arial"/>
        <w:sz w:val="12"/>
        <w:szCs w:val="12"/>
        <w:lang w:val="de-D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1B3C" w:rsidRDefault="00F01B3C" w:rsidP="00932380">
      <w:pPr>
        <w:spacing w:after="0" w:line="240" w:lineRule="auto"/>
      </w:pPr>
      <w:r>
        <w:separator/>
      </w:r>
    </w:p>
  </w:footnote>
  <w:footnote w:type="continuationSeparator" w:id="0">
    <w:p w:rsidR="00F01B3C" w:rsidRDefault="00F01B3C" w:rsidP="00932380">
      <w:pPr>
        <w:spacing w:after="0" w:line="240" w:lineRule="auto"/>
      </w:pPr>
      <w:r>
        <w:continuationSeparator/>
      </w:r>
    </w:p>
  </w:footnote>
  <w:footnote w:id="1">
    <w:p w:rsidR="00F01B3C" w:rsidRDefault="00F01B3C">
      <w:pPr>
        <w:pStyle w:val="Funotentext"/>
      </w:pPr>
      <w:r>
        <w:rPr>
          <w:rStyle w:val="Funotenzeichen"/>
        </w:rPr>
        <w:footnoteRef/>
      </w:r>
      <w:r>
        <w:t xml:space="preserve"> Artikel 37 Abs. 5 ASV wäre entsprechend zu streichen.</w:t>
      </w:r>
    </w:p>
  </w:footnote>
  <w:footnote w:id="2">
    <w:p w:rsidR="00F01B3C" w:rsidRDefault="00F01B3C">
      <w:pPr>
        <w:pStyle w:val="Funotentext"/>
      </w:pPr>
      <w:r>
        <w:rPr>
          <w:rStyle w:val="Funotenzeichen"/>
        </w:rPr>
        <w:footnoteRef/>
      </w:r>
      <w:r>
        <w:t xml:space="preserve"> </w:t>
      </w:r>
      <w:r>
        <w:tab/>
      </w:r>
      <w:r w:rsidR="005058B4">
        <w:t>[</w:t>
      </w:r>
      <w:r>
        <w:t>Wir</w:t>
      </w:r>
      <w:r w:rsidR="005058B4">
        <w:t xml:space="preserve"> bezweifeln, dass</w:t>
      </w:r>
      <w:r>
        <w:t xml:space="preserve"> eine so</w:t>
      </w:r>
      <w:r w:rsidR="005058B4">
        <w:t>lche Bestimmung akzeptiert würde</w:t>
      </w:r>
      <w:r>
        <w:t>.</w:t>
      </w:r>
      <w:r w:rsidR="005058B4">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B3C" w:rsidRDefault="00F01B3C" w:rsidP="00750FF9">
    <w:pPr>
      <w:pStyle w:val="Kopfzeile"/>
      <w:spacing w:after="0" w:line="240" w:lineRule="auto"/>
    </w:pPr>
    <w:r w:rsidRPr="007A5DD3">
      <w:rPr>
        <w:b/>
      </w:rPr>
      <w:t xml:space="preserve">Entwurf </w:t>
    </w:r>
    <w:r w:rsidR="00C0206A">
      <w:t>NKF 12</w:t>
    </w:r>
    <w:r>
      <w:t>. Januar 2015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B3C" w:rsidRDefault="00F01B3C">
    <w:pPr>
      <w:pStyle w:val="Kopfzeile"/>
    </w:pPr>
    <w:r w:rsidRPr="007A5DD3">
      <w:rPr>
        <w:b/>
      </w:rPr>
      <w:t xml:space="preserve">Entwurf </w:t>
    </w:r>
    <w:r>
      <w:t>NKF 12. Januar 2015</w:t>
    </w:r>
  </w:p>
  <w:p w:rsidR="00F01B3C" w:rsidRDefault="00F01B3C" w:rsidP="00750FF9">
    <w:pPr>
      <w:pStyle w:val="Kopfzeile"/>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FC501C"/>
    <w:multiLevelType w:val="hybridMultilevel"/>
    <w:tmpl w:val="053AD706"/>
    <w:lvl w:ilvl="0" w:tplc="08070001">
      <w:start w:val="1"/>
      <w:numFmt w:val="bullet"/>
      <w:lvlText w:val=""/>
      <w:lvlJc w:val="left"/>
      <w:pPr>
        <w:ind w:left="1004" w:hanging="360"/>
      </w:pPr>
      <w:rPr>
        <w:rFonts w:ascii="Symbol" w:hAnsi="Symbol" w:hint="default"/>
      </w:rPr>
    </w:lvl>
    <w:lvl w:ilvl="1" w:tplc="08070003" w:tentative="1">
      <w:start w:val="1"/>
      <w:numFmt w:val="bullet"/>
      <w:lvlText w:val="o"/>
      <w:lvlJc w:val="left"/>
      <w:pPr>
        <w:ind w:left="1724" w:hanging="360"/>
      </w:pPr>
      <w:rPr>
        <w:rFonts w:ascii="Courier New" w:hAnsi="Courier New" w:cs="Courier New" w:hint="default"/>
      </w:rPr>
    </w:lvl>
    <w:lvl w:ilvl="2" w:tplc="08070005" w:tentative="1">
      <w:start w:val="1"/>
      <w:numFmt w:val="bullet"/>
      <w:lvlText w:val=""/>
      <w:lvlJc w:val="left"/>
      <w:pPr>
        <w:ind w:left="2444" w:hanging="360"/>
      </w:pPr>
      <w:rPr>
        <w:rFonts w:ascii="Wingdings" w:hAnsi="Wingdings" w:hint="default"/>
      </w:rPr>
    </w:lvl>
    <w:lvl w:ilvl="3" w:tplc="08070001" w:tentative="1">
      <w:start w:val="1"/>
      <w:numFmt w:val="bullet"/>
      <w:lvlText w:val=""/>
      <w:lvlJc w:val="left"/>
      <w:pPr>
        <w:ind w:left="3164" w:hanging="360"/>
      </w:pPr>
      <w:rPr>
        <w:rFonts w:ascii="Symbol" w:hAnsi="Symbol" w:hint="default"/>
      </w:rPr>
    </w:lvl>
    <w:lvl w:ilvl="4" w:tplc="08070003" w:tentative="1">
      <w:start w:val="1"/>
      <w:numFmt w:val="bullet"/>
      <w:lvlText w:val="o"/>
      <w:lvlJc w:val="left"/>
      <w:pPr>
        <w:ind w:left="3884" w:hanging="360"/>
      </w:pPr>
      <w:rPr>
        <w:rFonts w:ascii="Courier New" w:hAnsi="Courier New" w:cs="Courier New" w:hint="default"/>
      </w:rPr>
    </w:lvl>
    <w:lvl w:ilvl="5" w:tplc="08070005" w:tentative="1">
      <w:start w:val="1"/>
      <w:numFmt w:val="bullet"/>
      <w:lvlText w:val=""/>
      <w:lvlJc w:val="left"/>
      <w:pPr>
        <w:ind w:left="4604" w:hanging="360"/>
      </w:pPr>
      <w:rPr>
        <w:rFonts w:ascii="Wingdings" w:hAnsi="Wingdings" w:hint="default"/>
      </w:rPr>
    </w:lvl>
    <w:lvl w:ilvl="6" w:tplc="08070001" w:tentative="1">
      <w:start w:val="1"/>
      <w:numFmt w:val="bullet"/>
      <w:lvlText w:val=""/>
      <w:lvlJc w:val="left"/>
      <w:pPr>
        <w:ind w:left="5324" w:hanging="360"/>
      </w:pPr>
      <w:rPr>
        <w:rFonts w:ascii="Symbol" w:hAnsi="Symbol" w:hint="default"/>
      </w:rPr>
    </w:lvl>
    <w:lvl w:ilvl="7" w:tplc="08070003" w:tentative="1">
      <w:start w:val="1"/>
      <w:numFmt w:val="bullet"/>
      <w:lvlText w:val="o"/>
      <w:lvlJc w:val="left"/>
      <w:pPr>
        <w:ind w:left="6044" w:hanging="360"/>
      </w:pPr>
      <w:rPr>
        <w:rFonts w:ascii="Courier New" w:hAnsi="Courier New" w:cs="Courier New" w:hint="default"/>
      </w:rPr>
    </w:lvl>
    <w:lvl w:ilvl="8" w:tplc="08070005" w:tentative="1">
      <w:start w:val="1"/>
      <w:numFmt w:val="bullet"/>
      <w:lvlText w:val=""/>
      <w:lvlJc w:val="left"/>
      <w:pPr>
        <w:ind w:left="6764" w:hanging="360"/>
      </w:pPr>
      <w:rPr>
        <w:rFonts w:ascii="Wingdings" w:hAnsi="Wingdings" w:hint="default"/>
      </w:rPr>
    </w:lvl>
  </w:abstractNum>
  <w:abstractNum w:abstractNumId="1">
    <w:nsid w:val="16B30293"/>
    <w:multiLevelType w:val="hybridMultilevel"/>
    <w:tmpl w:val="06FC54A4"/>
    <w:lvl w:ilvl="0" w:tplc="08070019">
      <w:start w:val="1"/>
      <w:numFmt w:val="lowerLetter"/>
      <w:lvlText w:val="%1."/>
      <w:lvlJc w:val="left"/>
      <w:pPr>
        <w:ind w:left="1069" w:hanging="360"/>
      </w:pPr>
    </w:lvl>
    <w:lvl w:ilvl="1" w:tplc="08070019">
      <w:start w:val="1"/>
      <w:numFmt w:val="lowerLetter"/>
      <w:lvlText w:val="%2."/>
      <w:lvlJc w:val="left"/>
      <w:pPr>
        <w:ind w:left="1789" w:hanging="360"/>
      </w:pPr>
    </w:lvl>
    <w:lvl w:ilvl="2" w:tplc="0807001B">
      <w:start w:val="1"/>
      <w:numFmt w:val="lowerRoman"/>
      <w:lvlText w:val="%3."/>
      <w:lvlJc w:val="right"/>
      <w:pPr>
        <w:ind w:left="2509" w:hanging="180"/>
      </w:pPr>
    </w:lvl>
    <w:lvl w:ilvl="3" w:tplc="0807000F">
      <w:start w:val="1"/>
      <w:numFmt w:val="decimal"/>
      <w:lvlText w:val="%4."/>
      <w:lvlJc w:val="left"/>
      <w:pPr>
        <w:ind w:left="3229" w:hanging="360"/>
      </w:pPr>
    </w:lvl>
    <w:lvl w:ilvl="4" w:tplc="08070019">
      <w:start w:val="1"/>
      <w:numFmt w:val="lowerLetter"/>
      <w:lvlText w:val="%5."/>
      <w:lvlJc w:val="left"/>
      <w:pPr>
        <w:ind w:left="3949" w:hanging="360"/>
      </w:pPr>
    </w:lvl>
    <w:lvl w:ilvl="5" w:tplc="0807001B">
      <w:start w:val="1"/>
      <w:numFmt w:val="lowerRoman"/>
      <w:lvlText w:val="%6."/>
      <w:lvlJc w:val="right"/>
      <w:pPr>
        <w:ind w:left="4669" w:hanging="180"/>
      </w:pPr>
    </w:lvl>
    <w:lvl w:ilvl="6" w:tplc="0807000F">
      <w:start w:val="1"/>
      <w:numFmt w:val="decimal"/>
      <w:lvlText w:val="%7."/>
      <w:lvlJc w:val="left"/>
      <w:pPr>
        <w:ind w:left="5389" w:hanging="360"/>
      </w:pPr>
    </w:lvl>
    <w:lvl w:ilvl="7" w:tplc="08070019">
      <w:start w:val="1"/>
      <w:numFmt w:val="lowerLetter"/>
      <w:lvlText w:val="%8."/>
      <w:lvlJc w:val="left"/>
      <w:pPr>
        <w:ind w:left="6109" w:hanging="360"/>
      </w:pPr>
    </w:lvl>
    <w:lvl w:ilvl="8" w:tplc="0807001B">
      <w:start w:val="1"/>
      <w:numFmt w:val="lowerRoman"/>
      <w:lvlText w:val="%9."/>
      <w:lvlJc w:val="right"/>
      <w:pPr>
        <w:ind w:left="6829" w:hanging="180"/>
      </w:pPr>
    </w:lvl>
  </w:abstractNum>
  <w:abstractNum w:abstractNumId="2">
    <w:nsid w:val="19AA3EE4"/>
    <w:multiLevelType w:val="hybridMultilevel"/>
    <w:tmpl w:val="20DC1836"/>
    <w:lvl w:ilvl="0" w:tplc="08070019">
      <w:start w:val="1"/>
      <w:numFmt w:val="lowerLetter"/>
      <w:lvlText w:val="%1."/>
      <w:lvlJc w:val="left"/>
      <w:pPr>
        <w:ind w:left="1069" w:hanging="360"/>
      </w:pPr>
    </w:lvl>
    <w:lvl w:ilvl="1" w:tplc="08070019">
      <w:start w:val="1"/>
      <w:numFmt w:val="lowerLetter"/>
      <w:lvlText w:val="%2."/>
      <w:lvlJc w:val="left"/>
      <w:pPr>
        <w:ind w:left="1789" w:hanging="360"/>
      </w:pPr>
    </w:lvl>
    <w:lvl w:ilvl="2" w:tplc="0807001B">
      <w:start w:val="1"/>
      <w:numFmt w:val="lowerRoman"/>
      <w:lvlText w:val="%3."/>
      <w:lvlJc w:val="right"/>
      <w:pPr>
        <w:ind w:left="2509" w:hanging="180"/>
      </w:pPr>
    </w:lvl>
    <w:lvl w:ilvl="3" w:tplc="0807000F">
      <w:start w:val="1"/>
      <w:numFmt w:val="decimal"/>
      <w:lvlText w:val="%4."/>
      <w:lvlJc w:val="left"/>
      <w:pPr>
        <w:ind w:left="3229" w:hanging="360"/>
      </w:pPr>
    </w:lvl>
    <w:lvl w:ilvl="4" w:tplc="08070019">
      <w:start w:val="1"/>
      <w:numFmt w:val="lowerLetter"/>
      <w:lvlText w:val="%5."/>
      <w:lvlJc w:val="left"/>
      <w:pPr>
        <w:ind w:left="3949" w:hanging="360"/>
      </w:pPr>
    </w:lvl>
    <w:lvl w:ilvl="5" w:tplc="0807001B">
      <w:start w:val="1"/>
      <w:numFmt w:val="lowerRoman"/>
      <w:lvlText w:val="%6."/>
      <w:lvlJc w:val="right"/>
      <w:pPr>
        <w:ind w:left="4669" w:hanging="180"/>
      </w:pPr>
    </w:lvl>
    <w:lvl w:ilvl="6" w:tplc="0807000F">
      <w:start w:val="1"/>
      <w:numFmt w:val="decimal"/>
      <w:lvlText w:val="%7."/>
      <w:lvlJc w:val="left"/>
      <w:pPr>
        <w:ind w:left="5389" w:hanging="360"/>
      </w:pPr>
    </w:lvl>
    <w:lvl w:ilvl="7" w:tplc="08070019">
      <w:start w:val="1"/>
      <w:numFmt w:val="lowerLetter"/>
      <w:lvlText w:val="%8."/>
      <w:lvlJc w:val="left"/>
      <w:pPr>
        <w:ind w:left="6109" w:hanging="360"/>
      </w:pPr>
    </w:lvl>
    <w:lvl w:ilvl="8" w:tplc="0807001B">
      <w:start w:val="1"/>
      <w:numFmt w:val="lowerRoman"/>
      <w:lvlText w:val="%9."/>
      <w:lvlJc w:val="right"/>
      <w:pPr>
        <w:ind w:left="6829" w:hanging="180"/>
      </w:pPr>
    </w:lvl>
  </w:abstractNum>
  <w:abstractNum w:abstractNumId="3">
    <w:nsid w:val="208E2680"/>
    <w:multiLevelType w:val="multilevel"/>
    <w:tmpl w:val="4776EC8C"/>
    <w:lvl w:ilvl="0">
      <w:start w:val="1"/>
      <w:numFmt w:val="lowerLetter"/>
      <w:pStyle w:val="Nummerierungabc1"/>
      <w:lvlText w:val="%1."/>
      <w:lvlJc w:val="left"/>
      <w:pPr>
        <w:tabs>
          <w:tab w:val="num" w:pos="709"/>
        </w:tabs>
        <w:ind w:left="709" w:hanging="709"/>
      </w:pPr>
      <w:rPr>
        <w:rFonts w:hint="default"/>
      </w:rPr>
    </w:lvl>
    <w:lvl w:ilvl="1">
      <w:start w:val="1"/>
      <w:numFmt w:val="lowerLetter"/>
      <w:pStyle w:val="Nummerierungabc2"/>
      <w:lvlText w:val="%2."/>
      <w:lvlJc w:val="left"/>
      <w:pPr>
        <w:tabs>
          <w:tab w:val="num" w:pos="1418"/>
        </w:tabs>
        <w:ind w:left="1418" w:hanging="709"/>
      </w:pPr>
      <w:rPr>
        <w:rFonts w:hint="default"/>
      </w:rPr>
    </w:lvl>
    <w:lvl w:ilvl="2">
      <w:start w:val="1"/>
      <w:numFmt w:val="lowerLetter"/>
      <w:pStyle w:val="Nummerierungabc3"/>
      <w:lvlText w:val="%3."/>
      <w:lvlJc w:val="left"/>
      <w:pPr>
        <w:tabs>
          <w:tab w:val="num" w:pos="2126"/>
        </w:tabs>
        <w:ind w:left="2126" w:hanging="708"/>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4">
    <w:nsid w:val="21A43D2D"/>
    <w:multiLevelType w:val="hybridMultilevel"/>
    <w:tmpl w:val="20DC1836"/>
    <w:lvl w:ilvl="0" w:tplc="08070019">
      <w:start w:val="1"/>
      <w:numFmt w:val="lowerLetter"/>
      <w:lvlText w:val="%1."/>
      <w:lvlJc w:val="left"/>
      <w:pPr>
        <w:ind w:left="1069" w:hanging="360"/>
      </w:pPr>
    </w:lvl>
    <w:lvl w:ilvl="1" w:tplc="08070019">
      <w:start w:val="1"/>
      <w:numFmt w:val="lowerLetter"/>
      <w:lvlText w:val="%2."/>
      <w:lvlJc w:val="left"/>
      <w:pPr>
        <w:ind w:left="1789" w:hanging="360"/>
      </w:pPr>
    </w:lvl>
    <w:lvl w:ilvl="2" w:tplc="0807001B">
      <w:start w:val="1"/>
      <w:numFmt w:val="lowerRoman"/>
      <w:lvlText w:val="%3."/>
      <w:lvlJc w:val="right"/>
      <w:pPr>
        <w:ind w:left="2509" w:hanging="180"/>
      </w:pPr>
    </w:lvl>
    <w:lvl w:ilvl="3" w:tplc="0807000F">
      <w:start w:val="1"/>
      <w:numFmt w:val="decimal"/>
      <w:lvlText w:val="%4."/>
      <w:lvlJc w:val="left"/>
      <w:pPr>
        <w:ind w:left="3229" w:hanging="360"/>
      </w:pPr>
    </w:lvl>
    <w:lvl w:ilvl="4" w:tplc="08070019">
      <w:start w:val="1"/>
      <w:numFmt w:val="lowerLetter"/>
      <w:lvlText w:val="%5."/>
      <w:lvlJc w:val="left"/>
      <w:pPr>
        <w:ind w:left="3949" w:hanging="360"/>
      </w:pPr>
    </w:lvl>
    <w:lvl w:ilvl="5" w:tplc="0807001B">
      <w:start w:val="1"/>
      <w:numFmt w:val="lowerRoman"/>
      <w:lvlText w:val="%6."/>
      <w:lvlJc w:val="right"/>
      <w:pPr>
        <w:ind w:left="4669" w:hanging="180"/>
      </w:pPr>
    </w:lvl>
    <w:lvl w:ilvl="6" w:tplc="0807000F">
      <w:start w:val="1"/>
      <w:numFmt w:val="decimal"/>
      <w:lvlText w:val="%7."/>
      <w:lvlJc w:val="left"/>
      <w:pPr>
        <w:ind w:left="5389" w:hanging="360"/>
      </w:pPr>
    </w:lvl>
    <w:lvl w:ilvl="7" w:tplc="08070019">
      <w:start w:val="1"/>
      <w:numFmt w:val="lowerLetter"/>
      <w:lvlText w:val="%8."/>
      <w:lvlJc w:val="left"/>
      <w:pPr>
        <w:ind w:left="6109" w:hanging="360"/>
      </w:pPr>
    </w:lvl>
    <w:lvl w:ilvl="8" w:tplc="0807001B">
      <w:start w:val="1"/>
      <w:numFmt w:val="lowerRoman"/>
      <w:lvlText w:val="%9."/>
      <w:lvlJc w:val="right"/>
      <w:pPr>
        <w:ind w:left="6829" w:hanging="180"/>
      </w:pPr>
    </w:lvl>
  </w:abstractNum>
  <w:abstractNum w:abstractNumId="5">
    <w:nsid w:val="266656D4"/>
    <w:multiLevelType w:val="hybridMultilevel"/>
    <w:tmpl w:val="5094BE4E"/>
    <w:lvl w:ilvl="0" w:tplc="08070019">
      <w:start w:val="1"/>
      <w:numFmt w:val="lowerLetter"/>
      <w:lvlText w:val="%1."/>
      <w:lvlJc w:val="left"/>
      <w:pPr>
        <w:ind w:left="1069" w:hanging="360"/>
      </w:pPr>
    </w:lvl>
    <w:lvl w:ilvl="1" w:tplc="08070019">
      <w:start w:val="1"/>
      <w:numFmt w:val="lowerLetter"/>
      <w:lvlText w:val="%2."/>
      <w:lvlJc w:val="left"/>
      <w:pPr>
        <w:ind w:left="1789" w:hanging="360"/>
      </w:pPr>
    </w:lvl>
    <w:lvl w:ilvl="2" w:tplc="0807001B">
      <w:start w:val="1"/>
      <w:numFmt w:val="lowerRoman"/>
      <w:lvlText w:val="%3."/>
      <w:lvlJc w:val="right"/>
      <w:pPr>
        <w:ind w:left="2509" w:hanging="180"/>
      </w:pPr>
    </w:lvl>
    <w:lvl w:ilvl="3" w:tplc="0807000F">
      <w:start w:val="1"/>
      <w:numFmt w:val="decimal"/>
      <w:lvlText w:val="%4."/>
      <w:lvlJc w:val="left"/>
      <w:pPr>
        <w:ind w:left="3229" w:hanging="360"/>
      </w:pPr>
    </w:lvl>
    <w:lvl w:ilvl="4" w:tplc="08070019">
      <w:start w:val="1"/>
      <w:numFmt w:val="lowerLetter"/>
      <w:lvlText w:val="%5."/>
      <w:lvlJc w:val="left"/>
      <w:pPr>
        <w:ind w:left="3949" w:hanging="360"/>
      </w:pPr>
    </w:lvl>
    <w:lvl w:ilvl="5" w:tplc="0807001B">
      <w:start w:val="1"/>
      <w:numFmt w:val="lowerRoman"/>
      <w:lvlText w:val="%6."/>
      <w:lvlJc w:val="right"/>
      <w:pPr>
        <w:ind w:left="4669" w:hanging="180"/>
      </w:pPr>
    </w:lvl>
    <w:lvl w:ilvl="6" w:tplc="0807000F">
      <w:start w:val="1"/>
      <w:numFmt w:val="decimal"/>
      <w:lvlText w:val="%7."/>
      <w:lvlJc w:val="left"/>
      <w:pPr>
        <w:ind w:left="5389" w:hanging="360"/>
      </w:pPr>
    </w:lvl>
    <w:lvl w:ilvl="7" w:tplc="08070019">
      <w:start w:val="1"/>
      <w:numFmt w:val="lowerLetter"/>
      <w:lvlText w:val="%8."/>
      <w:lvlJc w:val="left"/>
      <w:pPr>
        <w:ind w:left="6109" w:hanging="360"/>
      </w:pPr>
    </w:lvl>
    <w:lvl w:ilvl="8" w:tplc="0807001B">
      <w:start w:val="1"/>
      <w:numFmt w:val="lowerRoman"/>
      <w:lvlText w:val="%9."/>
      <w:lvlJc w:val="right"/>
      <w:pPr>
        <w:ind w:left="6829" w:hanging="180"/>
      </w:pPr>
    </w:lvl>
  </w:abstractNum>
  <w:abstractNum w:abstractNumId="6">
    <w:nsid w:val="2B5F18EA"/>
    <w:multiLevelType w:val="multilevel"/>
    <w:tmpl w:val="0F92BAC4"/>
    <w:styleLink w:val="AktuelleListe2"/>
    <w:lvl w:ilvl="0">
      <w:start w:val="1"/>
      <w:numFmt w:val="none"/>
      <w:suff w:val="nothing"/>
      <w:lvlText w:val="%1"/>
      <w:lvlJc w:val="left"/>
      <w:pPr>
        <w:ind w:left="0" w:firstLine="0"/>
      </w:pPr>
      <w:rPr>
        <w:rFonts w:hint="default"/>
      </w:rPr>
    </w:lvl>
    <w:lvl w:ilvl="1">
      <w:start w:val="1"/>
      <w:numFmt w:val="upperLetter"/>
      <w:lvlText w:val="%1%2."/>
      <w:lvlJc w:val="left"/>
      <w:pPr>
        <w:tabs>
          <w:tab w:val="num" w:pos="567"/>
        </w:tabs>
        <w:ind w:left="567" w:hanging="567"/>
      </w:pPr>
      <w:rPr>
        <w:rFonts w:hint="default"/>
        <w:b/>
        <w:i w:val="0"/>
      </w:rPr>
    </w:lvl>
    <w:lvl w:ilvl="2">
      <w:start w:val="1"/>
      <w:numFmt w:val="upperRoman"/>
      <w:lvlText w:val="%1%3."/>
      <w:lvlJc w:val="left"/>
      <w:pPr>
        <w:tabs>
          <w:tab w:val="num" w:pos="567"/>
        </w:tabs>
        <w:ind w:left="567" w:hanging="567"/>
      </w:pPr>
      <w:rPr>
        <w:rFonts w:hint="default"/>
        <w:b/>
        <w:i w:val="0"/>
      </w:rPr>
    </w:lvl>
    <w:lvl w:ilvl="3">
      <w:start w:val="1"/>
      <w:numFmt w:val="decimal"/>
      <w:lvlText w:val="%4."/>
      <w:lvlJc w:val="left"/>
      <w:pPr>
        <w:tabs>
          <w:tab w:val="num" w:pos="567"/>
        </w:tabs>
        <w:ind w:left="567" w:hanging="567"/>
      </w:pPr>
      <w:rPr>
        <w:rFonts w:hint="default"/>
        <w:b/>
        <w:i w:val="0"/>
      </w:rPr>
    </w:lvl>
    <w:lvl w:ilvl="4">
      <w:start w:val="1"/>
      <w:numFmt w:val="decimal"/>
      <w:lvlText w:val="%4.%5"/>
      <w:lvlJc w:val="left"/>
      <w:pPr>
        <w:tabs>
          <w:tab w:val="num" w:pos="567"/>
        </w:tabs>
        <w:ind w:left="567" w:hanging="567"/>
      </w:pPr>
      <w:rPr>
        <w:rFonts w:hint="default"/>
        <w:b/>
        <w:i w:val="0"/>
      </w:rPr>
    </w:lvl>
    <w:lvl w:ilvl="5">
      <w:start w:val="1"/>
      <w:numFmt w:val="decimal"/>
      <w:lvlText w:val="%4.%5.%6"/>
      <w:lvlJc w:val="left"/>
      <w:pPr>
        <w:tabs>
          <w:tab w:val="num" w:pos="567"/>
        </w:tabs>
        <w:ind w:left="567" w:hanging="567"/>
      </w:pPr>
      <w:rPr>
        <w:rFonts w:hint="default"/>
        <w:b/>
        <w:i w:val="0"/>
      </w:rPr>
    </w:lvl>
    <w:lvl w:ilvl="6">
      <w:start w:val="1"/>
      <w:numFmt w:val="lowerLetter"/>
      <w:lvlText w:val="(%7)"/>
      <w:lvlJc w:val="left"/>
      <w:pPr>
        <w:tabs>
          <w:tab w:val="num" w:pos="567"/>
        </w:tabs>
        <w:ind w:left="567" w:hanging="567"/>
      </w:pPr>
      <w:rPr>
        <w:rFonts w:hint="default"/>
        <w:b w:val="0"/>
        <w:i/>
      </w:rPr>
    </w:lvl>
    <w:lvl w:ilvl="7">
      <w:start w:val="27"/>
      <w:numFmt w:val="lowerLetter"/>
      <w:lvlText w:val="(%8)"/>
      <w:lvlJc w:val="left"/>
      <w:pPr>
        <w:tabs>
          <w:tab w:val="num" w:pos="567"/>
        </w:tabs>
        <w:ind w:left="567" w:hanging="567"/>
      </w:pPr>
      <w:rPr>
        <w:rFonts w:hint="default"/>
        <w:b w:val="0"/>
        <w:i/>
      </w:rPr>
    </w:lvl>
    <w:lvl w:ilvl="8">
      <w:start w:val="53"/>
      <w:numFmt w:val="lowerLetter"/>
      <w:lvlText w:val="(%9)"/>
      <w:lvlJc w:val="left"/>
      <w:pPr>
        <w:tabs>
          <w:tab w:val="num" w:pos="567"/>
        </w:tabs>
        <w:ind w:left="567" w:hanging="567"/>
      </w:pPr>
      <w:rPr>
        <w:rFonts w:hint="default"/>
        <w:b w:val="0"/>
        <w:i/>
      </w:rPr>
    </w:lvl>
  </w:abstractNum>
  <w:abstractNum w:abstractNumId="7">
    <w:nsid w:val="2CE1773C"/>
    <w:multiLevelType w:val="hybridMultilevel"/>
    <w:tmpl w:val="B2DAE1DC"/>
    <w:lvl w:ilvl="0" w:tplc="7AEAF6EA">
      <w:start w:val="1"/>
      <w:numFmt w:val="bullet"/>
      <w:pStyle w:val="ListeLemma1"/>
      <w:lvlText w:val="–"/>
      <w:lvlJc w:val="left"/>
      <w:pPr>
        <w:tabs>
          <w:tab w:val="num" w:pos="709"/>
        </w:tabs>
        <w:ind w:left="709" w:hanging="709"/>
      </w:pPr>
      <w:rPr>
        <w:rFonts w:ascii="HelveticaNeueLT Std Lt" w:hAnsi="HelveticaNeueLT Std Lt"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nsid w:val="30420913"/>
    <w:multiLevelType w:val="hybridMultilevel"/>
    <w:tmpl w:val="5094BE4E"/>
    <w:lvl w:ilvl="0" w:tplc="08070019">
      <w:start w:val="1"/>
      <w:numFmt w:val="lowerLetter"/>
      <w:lvlText w:val="%1."/>
      <w:lvlJc w:val="left"/>
      <w:pPr>
        <w:ind w:left="1069" w:hanging="360"/>
      </w:pPr>
    </w:lvl>
    <w:lvl w:ilvl="1" w:tplc="08070019">
      <w:start w:val="1"/>
      <w:numFmt w:val="lowerLetter"/>
      <w:lvlText w:val="%2."/>
      <w:lvlJc w:val="left"/>
      <w:pPr>
        <w:ind w:left="1789" w:hanging="360"/>
      </w:pPr>
    </w:lvl>
    <w:lvl w:ilvl="2" w:tplc="0807001B">
      <w:start w:val="1"/>
      <w:numFmt w:val="lowerRoman"/>
      <w:lvlText w:val="%3."/>
      <w:lvlJc w:val="right"/>
      <w:pPr>
        <w:ind w:left="2509" w:hanging="180"/>
      </w:pPr>
    </w:lvl>
    <w:lvl w:ilvl="3" w:tplc="0807000F">
      <w:start w:val="1"/>
      <w:numFmt w:val="decimal"/>
      <w:lvlText w:val="%4."/>
      <w:lvlJc w:val="left"/>
      <w:pPr>
        <w:ind w:left="3229" w:hanging="360"/>
      </w:pPr>
    </w:lvl>
    <w:lvl w:ilvl="4" w:tplc="08070019">
      <w:start w:val="1"/>
      <w:numFmt w:val="lowerLetter"/>
      <w:lvlText w:val="%5."/>
      <w:lvlJc w:val="left"/>
      <w:pPr>
        <w:ind w:left="3949" w:hanging="360"/>
      </w:pPr>
    </w:lvl>
    <w:lvl w:ilvl="5" w:tplc="0807001B">
      <w:start w:val="1"/>
      <w:numFmt w:val="lowerRoman"/>
      <w:lvlText w:val="%6."/>
      <w:lvlJc w:val="right"/>
      <w:pPr>
        <w:ind w:left="4669" w:hanging="180"/>
      </w:pPr>
    </w:lvl>
    <w:lvl w:ilvl="6" w:tplc="0807000F">
      <w:start w:val="1"/>
      <w:numFmt w:val="decimal"/>
      <w:lvlText w:val="%7."/>
      <w:lvlJc w:val="left"/>
      <w:pPr>
        <w:ind w:left="5389" w:hanging="360"/>
      </w:pPr>
    </w:lvl>
    <w:lvl w:ilvl="7" w:tplc="08070019">
      <w:start w:val="1"/>
      <w:numFmt w:val="lowerLetter"/>
      <w:lvlText w:val="%8."/>
      <w:lvlJc w:val="left"/>
      <w:pPr>
        <w:ind w:left="6109" w:hanging="360"/>
      </w:pPr>
    </w:lvl>
    <w:lvl w:ilvl="8" w:tplc="0807001B">
      <w:start w:val="1"/>
      <w:numFmt w:val="lowerRoman"/>
      <w:lvlText w:val="%9."/>
      <w:lvlJc w:val="right"/>
      <w:pPr>
        <w:ind w:left="6829" w:hanging="180"/>
      </w:pPr>
    </w:lvl>
  </w:abstractNum>
  <w:abstractNum w:abstractNumId="9">
    <w:nsid w:val="37487A35"/>
    <w:multiLevelType w:val="hybridMultilevel"/>
    <w:tmpl w:val="20DC1836"/>
    <w:lvl w:ilvl="0" w:tplc="08070019">
      <w:start w:val="1"/>
      <w:numFmt w:val="lowerLetter"/>
      <w:lvlText w:val="%1."/>
      <w:lvlJc w:val="left"/>
      <w:pPr>
        <w:ind w:left="1069" w:hanging="360"/>
      </w:pPr>
    </w:lvl>
    <w:lvl w:ilvl="1" w:tplc="08070019">
      <w:start w:val="1"/>
      <w:numFmt w:val="lowerLetter"/>
      <w:lvlText w:val="%2."/>
      <w:lvlJc w:val="left"/>
      <w:pPr>
        <w:ind w:left="1789" w:hanging="360"/>
      </w:pPr>
    </w:lvl>
    <w:lvl w:ilvl="2" w:tplc="0807001B">
      <w:start w:val="1"/>
      <w:numFmt w:val="lowerRoman"/>
      <w:lvlText w:val="%3."/>
      <w:lvlJc w:val="right"/>
      <w:pPr>
        <w:ind w:left="2509" w:hanging="180"/>
      </w:pPr>
    </w:lvl>
    <w:lvl w:ilvl="3" w:tplc="0807000F">
      <w:start w:val="1"/>
      <w:numFmt w:val="decimal"/>
      <w:lvlText w:val="%4."/>
      <w:lvlJc w:val="left"/>
      <w:pPr>
        <w:ind w:left="3229" w:hanging="360"/>
      </w:pPr>
    </w:lvl>
    <w:lvl w:ilvl="4" w:tplc="08070019">
      <w:start w:val="1"/>
      <w:numFmt w:val="lowerLetter"/>
      <w:lvlText w:val="%5."/>
      <w:lvlJc w:val="left"/>
      <w:pPr>
        <w:ind w:left="3949" w:hanging="360"/>
      </w:pPr>
    </w:lvl>
    <w:lvl w:ilvl="5" w:tplc="0807001B">
      <w:start w:val="1"/>
      <w:numFmt w:val="lowerRoman"/>
      <w:lvlText w:val="%6."/>
      <w:lvlJc w:val="right"/>
      <w:pPr>
        <w:ind w:left="4669" w:hanging="180"/>
      </w:pPr>
    </w:lvl>
    <w:lvl w:ilvl="6" w:tplc="0807000F">
      <w:start w:val="1"/>
      <w:numFmt w:val="decimal"/>
      <w:lvlText w:val="%7."/>
      <w:lvlJc w:val="left"/>
      <w:pPr>
        <w:ind w:left="5389" w:hanging="360"/>
      </w:pPr>
    </w:lvl>
    <w:lvl w:ilvl="7" w:tplc="08070019">
      <w:start w:val="1"/>
      <w:numFmt w:val="lowerLetter"/>
      <w:lvlText w:val="%8."/>
      <w:lvlJc w:val="left"/>
      <w:pPr>
        <w:ind w:left="6109" w:hanging="360"/>
      </w:pPr>
    </w:lvl>
    <w:lvl w:ilvl="8" w:tplc="0807001B">
      <w:start w:val="1"/>
      <w:numFmt w:val="lowerRoman"/>
      <w:lvlText w:val="%9."/>
      <w:lvlJc w:val="right"/>
      <w:pPr>
        <w:ind w:left="6829" w:hanging="180"/>
      </w:pPr>
    </w:lvl>
  </w:abstractNum>
  <w:abstractNum w:abstractNumId="10">
    <w:nsid w:val="39DC5D6D"/>
    <w:multiLevelType w:val="hybridMultilevel"/>
    <w:tmpl w:val="C0B69E0A"/>
    <w:lvl w:ilvl="0" w:tplc="8ED4DEE6">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nsid w:val="3F1964A7"/>
    <w:multiLevelType w:val="hybridMultilevel"/>
    <w:tmpl w:val="6EECC05A"/>
    <w:lvl w:ilvl="0" w:tplc="F6D84E8C">
      <w:start w:val="1"/>
      <w:numFmt w:val="decimal"/>
      <w:pStyle w:val="Randziffer"/>
      <w:lvlText w:val="%1"/>
      <w:lvlJc w:val="left"/>
      <w:pPr>
        <w:tabs>
          <w:tab w:val="num" w:pos="709"/>
        </w:tabs>
        <w:ind w:left="709" w:hanging="709"/>
      </w:pPr>
      <w:rPr>
        <w:rFonts w:hint="default"/>
        <w:vertAlign w:val="superscrip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nsid w:val="41B04DBF"/>
    <w:multiLevelType w:val="multilevel"/>
    <w:tmpl w:val="E3F24306"/>
    <w:lvl w:ilvl="0">
      <w:start w:val="1"/>
      <w:numFmt w:val="none"/>
      <w:pStyle w:val="ZAnhang1"/>
      <w:suff w:val="nothing"/>
      <w:lvlText w:val="%1"/>
      <w:lvlJc w:val="left"/>
      <w:pPr>
        <w:ind w:left="0" w:firstLine="0"/>
      </w:pPr>
      <w:rPr>
        <w:rFonts w:hint="default"/>
      </w:rPr>
    </w:lvl>
    <w:lvl w:ilvl="1">
      <w:start w:val="1"/>
      <w:numFmt w:val="upperLetter"/>
      <w:pStyle w:val="ZAnhang2"/>
      <w:lvlText w:val="%1%2."/>
      <w:lvlJc w:val="left"/>
      <w:pPr>
        <w:tabs>
          <w:tab w:val="num" w:pos="709"/>
        </w:tabs>
        <w:ind w:left="709" w:hanging="709"/>
      </w:pPr>
      <w:rPr>
        <w:rFonts w:hint="default"/>
        <w:b/>
        <w:i w:val="0"/>
      </w:rPr>
    </w:lvl>
    <w:lvl w:ilvl="2">
      <w:start w:val="1"/>
      <w:numFmt w:val="upperRoman"/>
      <w:pStyle w:val="ZAnhang3"/>
      <w:lvlText w:val="%1%3."/>
      <w:lvlJc w:val="left"/>
      <w:pPr>
        <w:tabs>
          <w:tab w:val="num" w:pos="709"/>
        </w:tabs>
        <w:ind w:left="709" w:hanging="709"/>
      </w:pPr>
      <w:rPr>
        <w:rFonts w:hint="default"/>
        <w:b/>
        <w:i w:val="0"/>
      </w:rPr>
    </w:lvl>
    <w:lvl w:ilvl="3">
      <w:start w:val="1"/>
      <w:numFmt w:val="decimal"/>
      <w:pStyle w:val="ZAnhang4"/>
      <w:lvlText w:val="%4."/>
      <w:lvlJc w:val="left"/>
      <w:pPr>
        <w:tabs>
          <w:tab w:val="num" w:pos="709"/>
        </w:tabs>
        <w:ind w:left="709" w:hanging="709"/>
      </w:pPr>
      <w:rPr>
        <w:rFonts w:hint="default"/>
        <w:b/>
        <w:i w:val="0"/>
      </w:rPr>
    </w:lvl>
    <w:lvl w:ilvl="4">
      <w:start w:val="1"/>
      <w:numFmt w:val="decimal"/>
      <w:pStyle w:val="ZAnhang5"/>
      <w:lvlText w:val="%4.%5"/>
      <w:lvlJc w:val="left"/>
      <w:pPr>
        <w:tabs>
          <w:tab w:val="num" w:pos="709"/>
        </w:tabs>
        <w:ind w:left="709" w:hanging="709"/>
      </w:pPr>
      <w:rPr>
        <w:rFonts w:hint="default"/>
        <w:b/>
        <w:i w:val="0"/>
      </w:rPr>
    </w:lvl>
    <w:lvl w:ilvl="5">
      <w:start w:val="1"/>
      <w:numFmt w:val="decimal"/>
      <w:pStyle w:val="ZAnhang6"/>
      <w:lvlText w:val="%4.%5.%6"/>
      <w:lvlJc w:val="left"/>
      <w:pPr>
        <w:tabs>
          <w:tab w:val="num" w:pos="709"/>
        </w:tabs>
        <w:ind w:left="709" w:hanging="709"/>
      </w:pPr>
      <w:rPr>
        <w:rFonts w:hint="default"/>
        <w:b/>
        <w:i w:val="0"/>
      </w:rPr>
    </w:lvl>
    <w:lvl w:ilvl="6">
      <w:start w:val="1"/>
      <w:numFmt w:val="lowerLetter"/>
      <w:pStyle w:val="ZAnhang7"/>
      <w:lvlText w:val="(%7)"/>
      <w:lvlJc w:val="left"/>
      <w:pPr>
        <w:tabs>
          <w:tab w:val="num" w:pos="709"/>
        </w:tabs>
        <w:ind w:left="709" w:hanging="709"/>
      </w:pPr>
      <w:rPr>
        <w:rFonts w:hint="default"/>
        <w:b w:val="0"/>
        <w:i/>
      </w:rPr>
    </w:lvl>
    <w:lvl w:ilvl="7">
      <w:start w:val="27"/>
      <w:numFmt w:val="lowerLetter"/>
      <w:pStyle w:val="ZAnhang8"/>
      <w:lvlText w:val="(%8)"/>
      <w:lvlJc w:val="left"/>
      <w:pPr>
        <w:tabs>
          <w:tab w:val="num" w:pos="709"/>
        </w:tabs>
        <w:ind w:left="709" w:hanging="709"/>
      </w:pPr>
      <w:rPr>
        <w:rFonts w:hint="default"/>
        <w:b w:val="0"/>
        <w:i/>
      </w:rPr>
    </w:lvl>
    <w:lvl w:ilvl="8">
      <w:start w:val="53"/>
      <w:numFmt w:val="lowerLetter"/>
      <w:pStyle w:val="ZAnhang9"/>
      <w:lvlText w:val="(%9)"/>
      <w:lvlJc w:val="left"/>
      <w:pPr>
        <w:tabs>
          <w:tab w:val="num" w:pos="709"/>
        </w:tabs>
        <w:ind w:left="709" w:hanging="709"/>
      </w:pPr>
      <w:rPr>
        <w:rFonts w:hint="default"/>
        <w:b w:val="0"/>
        <w:i/>
      </w:rPr>
    </w:lvl>
  </w:abstractNum>
  <w:abstractNum w:abstractNumId="13">
    <w:nsid w:val="4E3103E9"/>
    <w:multiLevelType w:val="hybridMultilevel"/>
    <w:tmpl w:val="5094BE4E"/>
    <w:lvl w:ilvl="0" w:tplc="08070019">
      <w:start w:val="1"/>
      <w:numFmt w:val="lowerLetter"/>
      <w:lvlText w:val="%1."/>
      <w:lvlJc w:val="left"/>
      <w:pPr>
        <w:ind w:left="1069" w:hanging="360"/>
      </w:pPr>
    </w:lvl>
    <w:lvl w:ilvl="1" w:tplc="08070019">
      <w:start w:val="1"/>
      <w:numFmt w:val="lowerLetter"/>
      <w:lvlText w:val="%2."/>
      <w:lvlJc w:val="left"/>
      <w:pPr>
        <w:ind w:left="1789" w:hanging="360"/>
      </w:pPr>
    </w:lvl>
    <w:lvl w:ilvl="2" w:tplc="0807001B">
      <w:start w:val="1"/>
      <w:numFmt w:val="lowerRoman"/>
      <w:lvlText w:val="%3."/>
      <w:lvlJc w:val="right"/>
      <w:pPr>
        <w:ind w:left="2509" w:hanging="180"/>
      </w:pPr>
    </w:lvl>
    <w:lvl w:ilvl="3" w:tplc="0807000F">
      <w:start w:val="1"/>
      <w:numFmt w:val="decimal"/>
      <w:lvlText w:val="%4."/>
      <w:lvlJc w:val="left"/>
      <w:pPr>
        <w:ind w:left="3229" w:hanging="360"/>
      </w:pPr>
    </w:lvl>
    <w:lvl w:ilvl="4" w:tplc="08070019">
      <w:start w:val="1"/>
      <w:numFmt w:val="lowerLetter"/>
      <w:lvlText w:val="%5."/>
      <w:lvlJc w:val="left"/>
      <w:pPr>
        <w:ind w:left="3949" w:hanging="360"/>
      </w:pPr>
    </w:lvl>
    <w:lvl w:ilvl="5" w:tplc="0807001B">
      <w:start w:val="1"/>
      <w:numFmt w:val="lowerRoman"/>
      <w:lvlText w:val="%6."/>
      <w:lvlJc w:val="right"/>
      <w:pPr>
        <w:ind w:left="4669" w:hanging="180"/>
      </w:pPr>
    </w:lvl>
    <w:lvl w:ilvl="6" w:tplc="0807000F">
      <w:start w:val="1"/>
      <w:numFmt w:val="decimal"/>
      <w:lvlText w:val="%7."/>
      <w:lvlJc w:val="left"/>
      <w:pPr>
        <w:ind w:left="5389" w:hanging="360"/>
      </w:pPr>
    </w:lvl>
    <w:lvl w:ilvl="7" w:tplc="08070019">
      <w:start w:val="1"/>
      <w:numFmt w:val="lowerLetter"/>
      <w:lvlText w:val="%8."/>
      <w:lvlJc w:val="left"/>
      <w:pPr>
        <w:ind w:left="6109" w:hanging="360"/>
      </w:pPr>
    </w:lvl>
    <w:lvl w:ilvl="8" w:tplc="0807001B">
      <w:start w:val="1"/>
      <w:numFmt w:val="lowerRoman"/>
      <w:lvlText w:val="%9."/>
      <w:lvlJc w:val="right"/>
      <w:pPr>
        <w:ind w:left="6829" w:hanging="180"/>
      </w:pPr>
    </w:lvl>
  </w:abstractNum>
  <w:abstractNum w:abstractNumId="14">
    <w:nsid w:val="4F2D324F"/>
    <w:multiLevelType w:val="hybridMultilevel"/>
    <w:tmpl w:val="5094BE4E"/>
    <w:lvl w:ilvl="0" w:tplc="08070019">
      <w:start w:val="1"/>
      <w:numFmt w:val="lowerLetter"/>
      <w:lvlText w:val="%1."/>
      <w:lvlJc w:val="left"/>
      <w:pPr>
        <w:ind w:left="1069" w:hanging="360"/>
      </w:pPr>
    </w:lvl>
    <w:lvl w:ilvl="1" w:tplc="08070019">
      <w:start w:val="1"/>
      <w:numFmt w:val="lowerLetter"/>
      <w:lvlText w:val="%2."/>
      <w:lvlJc w:val="left"/>
      <w:pPr>
        <w:ind w:left="1789" w:hanging="360"/>
      </w:pPr>
    </w:lvl>
    <w:lvl w:ilvl="2" w:tplc="0807001B">
      <w:start w:val="1"/>
      <w:numFmt w:val="lowerRoman"/>
      <w:lvlText w:val="%3."/>
      <w:lvlJc w:val="right"/>
      <w:pPr>
        <w:ind w:left="2509" w:hanging="180"/>
      </w:pPr>
    </w:lvl>
    <w:lvl w:ilvl="3" w:tplc="0807000F">
      <w:start w:val="1"/>
      <w:numFmt w:val="decimal"/>
      <w:lvlText w:val="%4."/>
      <w:lvlJc w:val="left"/>
      <w:pPr>
        <w:ind w:left="3229" w:hanging="360"/>
      </w:pPr>
    </w:lvl>
    <w:lvl w:ilvl="4" w:tplc="08070019">
      <w:start w:val="1"/>
      <w:numFmt w:val="lowerLetter"/>
      <w:lvlText w:val="%5."/>
      <w:lvlJc w:val="left"/>
      <w:pPr>
        <w:ind w:left="3949" w:hanging="360"/>
      </w:pPr>
    </w:lvl>
    <w:lvl w:ilvl="5" w:tplc="0807001B">
      <w:start w:val="1"/>
      <w:numFmt w:val="lowerRoman"/>
      <w:lvlText w:val="%6."/>
      <w:lvlJc w:val="right"/>
      <w:pPr>
        <w:ind w:left="4669" w:hanging="180"/>
      </w:pPr>
    </w:lvl>
    <w:lvl w:ilvl="6" w:tplc="0807000F">
      <w:start w:val="1"/>
      <w:numFmt w:val="decimal"/>
      <w:lvlText w:val="%7."/>
      <w:lvlJc w:val="left"/>
      <w:pPr>
        <w:ind w:left="5389" w:hanging="360"/>
      </w:pPr>
    </w:lvl>
    <w:lvl w:ilvl="7" w:tplc="08070019">
      <w:start w:val="1"/>
      <w:numFmt w:val="lowerLetter"/>
      <w:lvlText w:val="%8."/>
      <w:lvlJc w:val="left"/>
      <w:pPr>
        <w:ind w:left="6109" w:hanging="360"/>
      </w:pPr>
    </w:lvl>
    <w:lvl w:ilvl="8" w:tplc="0807001B">
      <w:start w:val="1"/>
      <w:numFmt w:val="lowerRoman"/>
      <w:lvlText w:val="%9."/>
      <w:lvlJc w:val="right"/>
      <w:pPr>
        <w:ind w:left="6829" w:hanging="180"/>
      </w:pPr>
    </w:lvl>
  </w:abstractNum>
  <w:abstractNum w:abstractNumId="15">
    <w:nsid w:val="57DD103F"/>
    <w:multiLevelType w:val="hybridMultilevel"/>
    <w:tmpl w:val="388E03E6"/>
    <w:lvl w:ilvl="0" w:tplc="7D4896A8">
      <w:start w:val="3"/>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nsid w:val="580F7969"/>
    <w:multiLevelType w:val="hybridMultilevel"/>
    <w:tmpl w:val="F522DE8C"/>
    <w:lvl w:ilvl="0" w:tplc="3A74FA62">
      <w:start w:val="1"/>
      <w:numFmt w:val="bullet"/>
      <w:pStyle w:val="ListeFazit1"/>
      <w:lvlText w:val=""/>
      <w:lvlJc w:val="left"/>
      <w:pPr>
        <w:tabs>
          <w:tab w:val="num" w:pos="709"/>
        </w:tabs>
        <w:ind w:left="709" w:hanging="709"/>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nsid w:val="5BD13853"/>
    <w:multiLevelType w:val="hybridMultilevel"/>
    <w:tmpl w:val="7FE29F9C"/>
    <w:lvl w:ilvl="0" w:tplc="08070019">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nsid w:val="60F01A6E"/>
    <w:multiLevelType w:val="hybridMultilevel"/>
    <w:tmpl w:val="06FC54A4"/>
    <w:lvl w:ilvl="0" w:tplc="08070019">
      <w:start w:val="1"/>
      <w:numFmt w:val="lowerLetter"/>
      <w:lvlText w:val="%1."/>
      <w:lvlJc w:val="left"/>
      <w:pPr>
        <w:ind w:left="1069" w:hanging="360"/>
      </w:pPr>
    </w:lvl>
    <w:lvl w:ilvl="1" w:tplc="08070019">
      <w:start w:val="1"/>
      <w:numFmt w:val="lowerLetter"/>
      <w:lvlText w:val="%2."/>
      <w:lvlJc w:val="left"/>
      <w:pPr>
        <w:ind w:left="1789" w:hanging="360"/>
      </w:pPr>
    </w:lvl>
    <w:lvl w:ilvl="2" w:tplc="0807001B">
      <w:start w:val="1"/>
      <w:numFmt w:val="lowerRoman"/>
      <w:lvlText w:val="%3."/>
      <w:lvlJc w:val="right"/>
      <w:pPr>
        <w:ind w:left="2509" w:hanging="180"/>
      </w:pPr>
    </w:lvl>
    <w:lvl w:ilvl="3" w:tplc="0807000F">
      <w:start w:val="1"/>
      <w:numFmt w:val="decimal"/>
      <w:lvlText w:val="%4."/>
      <w:lvlJc w:val="left"/>
      <w:pPr>
        <w:ind w:left="3229" w:hanging="360"/>
      </w:pPr>
    </w:lvl>
    <w:lvl w:ilvl="4" w:tplc="08070019">
      <w:start w:val="1"/>
      <w:numFmt w:val="lowerLetter"/>
      <w:lvlText w:val="%5."/>
      <w:lvlJc w:val="left"/>
      <w:pPr>
        <w:ind w:left="3949" w:hanging="360"/>
      </w:pPr>
    </w:lvl>
    <w:lvl w:ilvl="5" w:tplc="0807001B">
      <w:start w:val="1"/>
      <w:numFmt w:val="lowerRoman"/>
      <w:lvlText w:val="%6."/>
      <w:lvlJc w:val="right"/>
      <w:pPr>
        <w:ind w:left="4669" w:hanging="180"/>
      </w:pPr>
    </w:lvl>
    <w:lvl w:ilvl="6" w:tplc="0807000F">
      <w:start w:val="1"/>
      <w:numFmt w:val="decimal"/>
      <w:lvlText w:val="%7."/>
      <w:lvlJc w:val="left"/>
      <w:pPr>
        <w:ind w:left="5389" w:hanging="360"/>
      </w:pPr>
    </w:lvl>
    <w:lvl w:ilvl="7" w:tplc="08070019">
      <w:start w:val="1"/>
      <w:numFmt w:val="lowerLetter"/>
      <w:lvlText w:val="%8."/>
      <w:lvlJc w:val="left"/>
      <w:pPr>
        <w:ind w:left="6109" w:hanging="360"/>
      </w:pPr>
    </w:lvl>
    <w:lvl w:ilvl="8" w:tplc="0807001B">
      <w:start w:val="1"/>
      <w:numFmt w:val="lowerRoman"/>
      <w:lvlText w:val="%9."/>
      <w:lvlJc w:val="right"/>
      <w:pPr>
        <w:ind w:left="6829" w:hanging="180"/>
      </w:pPr>
    </w:lvl>
  </w:abstractNum>
  <w:abstractNum w:abstractNumId="19">
    <w:nsid w:val="63A444E0"/>
    <w:multiLevelType w:val="multilevel"/>
    <w:tmpl w:val="C55607A8"/>
    <w:lvl w:ilvl="0">
      <w:start w:val="1"/>
      <w:numFmt w:val="upperLetter"/>
      <w:lvlText w:val="%1."/>
      <w:lvlJc w:val="left"/>
      <w:pPr>
        <w:tabs>
          <w:tab w:val="num" w:pos="567"/>
        </w:tabs>
        <w:ind w:left="567" w:hanging="567"/>
      </w:pPr>
      <w:rPr>
        <w:rFonts w:hint="default"/>
      </w:rPr>
    </w:lvl>
    <w:lvl w:ilvl="1">
      <w:start w:val="1"/>
      <w:numFmt w:val="upperRoman"/>
      <w:lvlText w:val="%2."/>
      <w:lvlJc w:val="left"/>
      <w:pPr>
        <w:tabs>
          <w:tab w:val="num" w:pos="567"/>
        </w:tabs>
        <w:ind w:left="567" w:hanging="567"/>
      </w:pPr>
      <w:rPr>
        <w:rFonts w:hint="default"/>
      </w:rPr>
    </w:lvl>
    <w:lvl w:ilvl="2">
      <w:start w:val="1"/>
      <w:numFmt w:val="decimal"/>
      <w:lvlText w:val="%3."/>
      <w:lvlJc w:val="left"/>
      <w:pPr>
        <w:tabs>
          <w:tab w:val="num" w:pos="567"/>
        </w:tabs>
        <w:ind w:left="567" w:hanging="567"/>
      </w:pPr>
      <w:rPr>
        <w:rFonts w:hint="default"/>
      </w:rPr>
    </w:lvl>
    <w:lvl w:ilvl="3">
      <w:start w:val="1"/>
      <w:numFmt w:val="decimal"/>
      <w:lvlText w:val="%3.%4"/>
      <w:lvlJc w:val="left"/>
      <w:pPr>
        <w:tabs>
          <w:tab w:val="num" w:pos="567"/>
        </w:tabs>
        <w:ind w:left="567" w:hanging="567"/>
      </w:pPr>
      <w:rPr>
        <w:rFonts w:hint="default"/>
      </w:rPr>
    </w:lvl>
    <w:lvl w:ilvl="4">
      <w:start w:val="1"/>
      <w:numFmt w:val="decimal"/>
      <w:lvlText w:val="%3.%4.%5"/>
      <w:lvlJc w:val="left"/>
      <w:pPr>
        <w:tabs>
          <w:tab w:val="num" w:pos="567"/>
        </w:tabs>
        <w:ind w:left="567" w:hanging="567"/>
      </w:pPr>
      <w:rPr>
        <w:rFonts w:hint="default"/>
      </w:rPr>
    </w:lvl>
    <w:lvl w:ilvl="5">
      <w:start w:val="1"/>
      <w:numFmt w:val="lowerLetter"/>
      <w:lvlText w:val="(%6)"/>
      <w:lvlJc w:val="left"/>
      <w:pPr>
        <w:tabs>
          <w:tab w:val="num" w:pos="567"/>
        </w:tabs>
        <w:ind w:left="567" w:hanging="567"/>
      </w:pPr>
      <w:rPr>
        <w:rFonts w:hint="default"/>
        <w:b w:val="0"/>
        <w:i/>
      </w:rPr>
    </w:lvl>
    <w:lvl w:ilvl="6">
      <w:start w:val="27"/>
      <w:numFmt w:val="lowerLetter"/>
      <w:lvlText w:val="(%7)"/>
      <w:lvlJc w:val="left"/>
      <w:pPr>
        <w:tabs>
          <w:tab w:val="num" w:pos="567"/>
        </w:tabs>
        <w:ind w:left="567" w:hanging="567"/>
      </w:pPr>
      <w:rPr>
        <w:rFonts w:hint="default"/>
        <w:b w:val="0"/>
        <w:i/>
      </w:rPr>
    </w:lvl>
    <w:lvl w:ilvl="7">
      <w:start w:val="53"/>
      <w:numFmt w:val="lowerLetter"/>
      <w:lvlText w:val="(%8)"/>
      <w:lvlJc w:val="left"/>
      <w:pPr>
        <w:tabs>
          <w:tab w:val="num" w:pos="567"/>
        </w:tabs>
        <w:ind w:left="567" w:hanging="567"/>
      </w:pPr>
      <w:rPr>
        <w:rFonts w:hint="default"/>
        <w:b w:val="0"/>
        <w:i/>
      </w:rPr>
    </w:lvl>
    <w:lvl w:ilvl="8">
      <w:start w:val="1"/>
      <w:numFmt w:val="lowerRoman"/>
      <w:lvlText w:val="%9."/>
      <w:lvlJc w:val="left"/>
      <w:pPr>
        <w:tabs>
          <w:tab w:val="num" w:pos="567"/>
        </w:tabs>
        <w:ind w:left="567" w:hanging="567"/>
      </w:pPr>
      <w:rPr>
        <w:rFonts w:hint="default"/>
      </w:rPr>
    </w:lvl>
  </w:abstractNum>
  <w:abstractNum w:abstractNumId="20">
    <w:nsid w:val="650545EF"/>
    <w:multiLevelType w:val="multilevel"/>
    <w:tmpl w:val="0F92BAC4"/>
    <w:lvl w:ilvl="0">
      <w:start w:val="1"/>
      <w:numFmt w:val="none"/>
      <w:suff w:val="nothing"/>
      <w:lvlText w:val="%1"/>
      <w:lvlJc w:val="left"/>
      <w:pPr>
        <w:ind w:left="0" w:firstLine="0"/>
      </w:pPr>
      <w:rPr>
        <w:rFonts w:hint="default"/>
      </w:rPr>
    </w:lvl>
    <w:lvl w:ilvl="1">
      <w:start w:val="1"/>
      <w:numFmt w:val="upperLetter"/>
      <w:lvlText w:val="%1%2."/>
      <w:lvlJc w:val="left"/>
      <w:pPr>
        <w:tabs>
          <w:tab w:val="num" w:pos="567"/>
        </w:tabs>
        <w:ind w:left="567" w:hanging="567"/>
      </w:pPr>
      <w:rPr>
        <w:rFonts w:hint="default"/>
        <w:b/>
        <w:i w:val="0"/>
      </w:rPr>
    </w:lvl>
    <w:lvl w:ilvl="2">
      <w:start w:val="1"/>
      <w:numFmt w:val="upperRoman"/>
      <w:lvlText w:val="%1%3."/>
      <w:lvlJc w:val="left"/>
      <w:pPr>
        <w:tabs>
          <w:tab w:val="num" w:pos="567"/>
        </w:tabs>
        <w:ind w:left="567" w:hanging="567"/>
      </w:pPr>
      <w:rPr>
        <w:rFonts w:hint="default"/>
        <w:b/>
        <w:i w:val="0"/>
      </w:rPr>
    </w:lvl>
    <w:lvl w:ilvl="3">
      <w:start w:val="1"/>
      <w:numFmt w:val="decimal"/>
      <w:lvlText w:val="%4."/>
      <w:lvlJc w:val="left"/>
      <w:pPr>
        <w:tabs>
          <w:tab w:val="num" w:pos="567"/>
        </w:tabs>
        <w:ind w:left="567" w:hanging="567"/>
      </w:pPr>
      <w:rPr>
        <w:rFonts w:hint="default"/>
        <w:b/>
        <w:i w:val="0"/>
      </w:rPr>
    </w:lvl>
    <w:lvl w:ilvl="4">
      <w:start w:val="1"/>
      <w:numFmt w:val="decimal"/>
      <w:lvlText w:val="%4.%5"/>
      <w:lvlJc w:val="left"/>
      <w:pPr>
        <w:tabs>
          <w:tab w:val="num" w:pos="567"/>
        </w:tabs>
        <w:ind w:left="567" w:hanging="567"/>
      </w:pPr>
      <w:rPr>
        <w:rFonts w:hint="default"/>
        <w:b/>
        <w:i w:val="0"/>
      </w:rPr>
    </w:lvl>
    <w:lvl w:ilvl="5">
      <w:start w:val="1"/>
      <w:numFmt w:val="decimal"/>
      <w:lvlText w:val="%4.%5.%6"/>
      <w:lvlJc w:val="left"/>
      <w:pPr>
        <w:tabs>
          <w:tab w:val="num" w:pos="567"/>
        </w:tabs>
        <w:ind w:left="567" w:hanging="567"/>
      </w:pPr>
      <w:rPr>
        <w:rFonts w:hint="default"/>
        <w:b/>
        <w:i w:val="0"/>
      </w:rPr>
    </w:lvl>
    <w:lvl w:ilvl="6">
      <w:start w:val="1"/>
      <w:numFmt w:val="lowerLetter"/>
      <w:lvlText w:val="(%7)"/>
      <w:lvlJc w:val="left"/>
      <w:pPr>
        <w:tabs>
          <w:tab w:val="num" w:pos="567"/>
        </w:tabs>
        <w:ind w:left="567" w:hanging="567"/>
      </w:pPr>
      <w:rPr>
        <w:rFonts w:hint="default"/>
        <w:b w:val="0"/>
        <w:i/>
      </w:rPr>
    </w:lvl>
    <w:lvl w:ilvl="7">
      <w:start w:val="27"/>
      <w:numFmt w:val="lowerLetter"/>
      <w:lvlText w:val="(%8)"/>
      <w:lvlJc w:val="left"/>
      <w:pPr>
        <w:tabs>
          <w:tab w:val="num" w:pos="567"/>
        </w:tabs>
        <w:ind w:left="567" w:hanging="567"/>
      </w:pPr>
      <w:rPr>
        <w:rFonts w:hint="default"/>
        <w:b w:val="0"/>
        <w:i/>
      </w:rPr>
    </w:lvl>
    <w:lvl w:ilvl="8">
      <w:start w:val="53"/>
      <w:numFmt w:val="lowerLetter"/>
      <w:lvlText w:val="(%9)"/>
      <w:lvlJc w:val="left"/>
      <w:pPr>
        <w:tabs>
          <w:tab w:val="num" w:pos="567"/>
        </w:tabs>
        <w:ind w:left="567" w:hanging="567"/>
      </w:pPr>
      <w:rPr>
        <w:rFonts w:hint="default"/>
        <w:b w:val="0"/>
        <w:i/>
      </w:rPr>
    </w:lvl>
  </w:abstractNum>
  <w:abstractNum w:abstractNumId="21">
    <w:nsid w:val="6A2D07F2"/>
    <w:multiLevelType w:val="hybridMultilevel"/>
    <w:tmpl w:val="3F2E57FE"/>
    <w:lvl w:ilvl="0" w:tplc="44C82C9C">
      <w:start w:val="1"/>
      <w:numFmt w:val="bullet"/>
      <w:pStyle w:val="ListeBulletPoint1"/>
      <w:lvlText w:val=""/>
      <w:lvlJc w:val="left"/>
      <w:pPr>
        <w:tabs>
          <w:tab w:val="num" w:pos="709"/>
        </w:tabs>
        <w:ind w:left="709" w:hanging="709"/>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nsid w:val="6AD41D50"/>
    <w:multiLevelType w:val="multilevel"/>
    <w:tmpl w:val="96CE0A46"/>
    <w:lvl w:ilvl="0">
      <w:start w:val="1"/>
      <w:numFmt w:val="lowerRoman"/>
      <w:pStyle w:val="Nummerierungi1"/>
      <w:lvlText w:val="%1."/>
      <w:lvlJc w:val="left"/>
      <w:pPr>
        <w:tabs>
          <w:tab w:val="num" w:pos="709"/>
        </w:tabs>
        <w:ind w:left="709" w:hanging="709"/>
      </w:pPr>
      <w:rPr>
        <w:rFonts w:hint="default"/>
      </w:rPr>
    </w:lvl>
    <w:lvl w:ilvl="1">
      <w:start w:val="1"/>
      <w:numFmt w:val="lowerRoman"/>
      <w:pStyle w:val="Nummerierungi2"/>
      <w:lvlText w:val="%2."/>
      <w:lvlJc w:val="left"/>
      <w:pPr>
        <w:tabs>
          <w:tab w:val="num" w:pos="1418"/>
        </w:tabs>
        <w:ind w:left="1418" w:hanging="709"/>
      </w:pPr>
      <w:rPr>
        <w:rFonts w:hint="default"/>
      </w:rPr>
    </w:lvl>
    <w:lvl w:ilvl="2">
      <w:start w:val="1"/>
      <w:numFmt w:val="lowerRoman"/>
      <w:pStyle w:val="Nummerierungi3"/>
      <w:lvlText w:val="%3."/>
      <w:lvlJc w:val="left"/>
      <w:pPr>
        <w:tabs>
          <w:tab w:val="num" w:pos="2126"/>
        </w:tabs>
        <w:ind w:left="2126" w:hanging="708"/>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3">
    <w:nsid w:val="6CD915D0"/>
    <w:multiLevelType w:val="hybridMultilevel"/>
    <w:tmpl w:val="5094BE4E"/>
    <w:lvl w:ilvl="0" w:tplc="08070019">
      <w:start w:val="1"/>
      <w:numFmt w:val="lowerLetter"/>
      <w:lvlText w:val="%1."/>
      <w:lvlJc w:val="left"/>
      <w:pPr>
        <w:ind w:left="1069" w:hanging="360"/>
      </w:pPr>
    </w:lvl>
    <w:lvl w:ilvl="1" w:tplc="08070019">
      <w:start w:val="1"/>
      <w:numFmt w:val="lowerLetter"/>
      <w:lvlText w:val="%2."/>
      <w:lvlJc w:val="left"/>
      <w:pPr>
        <w:ind w:left="1789" w:hanging="360"/>
      </w:pPr>
    </w:lvl>
    <w:lvl w:ilvl="2" w:tplc="0807001B">
      <w:start w:val="1"/>
      <w:numFmt w:val="lowerRoman"/>
      <w:lvlText w:val="%3."/>
      <w:lvlJc w:val="right"/>
      <w:pPr>
        <w:ind w:left="2509" w:hanging="180"/>
      </w:pPr>
    </w:lvl>
    <w:lvl w:ilvl="3" w:tplc="0807000F">
      <w:start w:val="1"/>
      <w:numFmt w:val="decimal"/>
      <w:lvlText w:val="%4."/>
      <w:lvlJc w:val="left"/>
      <w:pPr>
        <w:ind w:left="3229" w:hanging="360"/>
      </w:pPr>
    </w:lvl>
    <w:lvl w:ilvl="4" w:tplc="08070019">
      <w:start w:val="1"/>
      <w:numFmt w:val="lowerLetter"/>
      <w:lvlText w:val="%5."/>
      <w:lvlJc w:val="left"/>
      <w:pPr>
        <w:ind w:left="3949" w:hanging="360"/>
      </w:pPr>
    </w:lvl>
    <w:lvl w:ilvl="5" w:tplc="0807001B">
      <w:start w:val="1"/>
      <w:numFmt w:val="lowerRoman"/>
      <w:lvlText w:val="%6."/>
      <w:lvlJc w:val="right"/>
      <w:pPr>
        <w:ind w:left="4669" w:hanging="180"/>
      </w:pPr>
    </w:lvl>
    <w:lvl w:ilvl="6" w:tplc="0807000F">
      <w:start w:val="1"/>
      <w:numFmt w:val="decimal"/>
      <w:lvlText w:val="%7."/>
      <w:lvlJc w:val="left"/>
      <w:pPr>
        <w:ind w:left="5389" w:hanging="360"/>
      </w:pPr>
    </w:lvl>
    <w:lvl w:ilvl="7" w:tplc="08070019">
      <w:start w:val="1"/>
      <w:numFmt w:val="lowerLetter"/>
      <w:lvlText w:val="%8."/>
      <w:lvlJc w:val="left"/>
      <w:pPr>
        <w:ind w:left="6109" w:hanging="360"/>
      </w:pPr>
    </w:lvl>
    <w:lvl w:ilvl="8" w:tplc="0807001B">
      <w:start w:val="1"/>
      <w:numFmt w:val="lowerRoman"/>
      <w:lvlText w:val="%9."/>
      <w:lvlJc w:val="right"/>
      <w:pPr>
        <w:ind w:left="6829" w:hanging="180"/>
      </w:pPr>
    </w:lvl>
  </w:abstractNum>
  <w:abstractNum w:abstractNumId="24">
    <w:nsid w:val="72E93851"/>
    <w:multiLevelType w:val="multilevel"/>
    <w:tmpl w:val="C43E3104"/>
    <w:styleLink w:val="AktuelleListe1"/>
    <w:lvl w:ilvl="0">
      <w:start w:val="1"/>
      <w:numFmt w:val="none"/>
      <w:lvlRestart w:val="0"/>
      <w:lvlText w:val="%1"/>
      <w:lvlJc w:val="left"/>
      <w:pPr>
        <w:tabs>
          <w:tab w:val="num" w:pos="0"/>
        </w:tabs>
        <w:ind w:left="0" w:hanging="567"/>
      </w:pPr>
      <w:rPr>
        <w:rFonts w:hint="default"/>
      </w:rPr>
    </w:lvl>
    <w:lvl w:ilvl="1">
      <w:start w:val="1"/>
      <w:numFmt w:val="upperLetter"/>
      <w:lvlText w:val="%2."/>
      <w:lvlJc w:val="left"/>
      <w:pPr>
        <w:tabs>
          <w:tab w:val="num" w:pos="567"/>
        </w:tabs>
        <w:ind w:left="567" w:hanging="567"/>
      </w:pPr>
      <w:rPr>
        <w:rFonts w:hint="default"/>
      </w:rPr>
    </w:lvl>
    <w:lvl w:ilvl="2">
      <w:start w:val="1"/>
      <w:numFmt w:val="upperRoman"/>
      <w:lvlText w:val="%3."/>
      <w:lvlJc w:val="left"/>
      <w:pPr>
        <w:tabs>
          <w:tab w:val="num" w:pos="567"/>
        </w:tabs>
        <w:ind w:left="567" w:hanging="567"/>
      </w:pPr>
      <w:rPr>
        <w:rFonts w:hint="default"/>
      </w:rPr>
    </w:lvl>
    <w:lvl w:ilvl="3">
      <w:start w:val="1"/>
      <w:numFmt w:val="decimal"/>
      <w:lvlText w:val="%4."/>
      <w:lvlJc w:val="left"/>
      <w:pPr>
        <w:tabs>
          <w:tab w:val="num" w:pos="567"/>
        </w:tabs>
        <w:ind w:left="567" w:hanging="567"/>
      </w:pPr>
      <w:rPr>
        <w:rFonts w:hint="default"/>
      </w:rPr>
    </w:lvl>
    <w:lvl w:ilvl="4">
      <w:start w:val="1"/>
      <w:numFmt w:val="decimal"/>
      <w:lvlText w:val="%4.%5"/>
      <w:lvlJc w:val="left"/>
      <w:pPr>
        <w:tabs>
          <w:tab w:val="num" w:pos="567"/>
        </w:tabs>
        <w:ind w:left="567" w:hanging="567"/>
      </w:pPr>
      <w:rPr>
        <w:rFonts w:hint="default"/>
      </w:rPr>
    </w:lvl>
    <w:lvl w:ilvl="5">
      <w:start w:val="1"/>
      <w:numFmt w:val="decimal"/>
      <w:lvlText w:val="%4.%5.%6"/>
      <w:lvlJc w:val="left"/>
      <w:pPr>
        <w:tabs>
          <w:tab w:val="num" w:pos="567"/>
        </w:tabs>
        <w:ind w:left="567" w:hanging="567"/>
      </w:pPr>
      <w:rPr>
        <w:rFonts w:hint="default"/>
        <w:b w:val="0"/>
        <w:i w:val="0"/>
      </w:rPr>
    </w:lvl>
    <w:lvl w:ilvl="6">
      <w:start w:val="1"/>
      <w:numFmt w:val="lowerLetter"/>
      <w:lvlText w:val="(%7)"/>
      <w:lvlJc w:val="left"/>
      <w:pPr>
        <w:tabs>
          <w:tab w:val="num" w:pos="567"/>
        </w:tabs>
        <w:ind w:left="567" w:hanging="567"/>
      </w:pPr>
      <w:rPr>
        <w:rFonts w:hint="default"/>
        <w:b w:val="0"/>
        <w:i/>
      </w:rPr>
    </w:lvl>
    <w:lvl w:ilvl="7">
      <w:start w:val="27"/>
      <w:numFmt w:val="lowerLetter"/>
      <w:lvlText w:val="(%8)"/>
      <w:lvlJc w:val="left"/>
      <w:pPr>
        <w:tabs>
          <w:tab w:val="num" w:pos="567"/>
        </w:tabs>
        <w:ind w:left="567" w:hanging="567"/>
      </w:pPr>
      <w:rPr>
        <w:rFonts w:hint="default"/>
        <w:b w:val="0"/>
        <w:i/>
      </w:rPr>
    </w:lvl>
    <w:lvl w:ilvl="8">
      <w:start w:val="53"/>
      <w:numFmt w:val="lowerLetter"/>
      <w:lvlText w:val="(%9)"/>
      <w:lvlJc w:val="left"/>
      <w:pPr>
        <w:tabs>
          <w:tab w:val="num" w:pos="567"/>
        </w:tabs>
        <w:ind w:left="567" w:hanging="567"/>
      </w:pPr>
      <w:rPr>
        <w:rFonts w:hint="default"/>
        <w:b w:val="0"/>
        <w:i/>
      </w:rPr>
    </w:lvl>
  </w:abstractNum>
  <w:abstractNum w:abstractNumId="25">
    <w:nsid w:val="739F67AD"/>
    <w:multiLevelType w:val="hybridMultilevel"/>
    <w:tmpl w:val="5094BE4E"/>
    <w:lvl w:ilvl="0" w:tplc="08070019">
      <w:start w:val="1"/>
      <w:numFmt w:val="lowerLetter"/>
      <w:lvlText w:val="%1."/>
      <w:lvlJc w:val="left"/>
      <w:pPr>
        <w:ind w:left="1069" w:hanging="360"/>
      </w:pPr>
    </w:lvl>
    <w:lvl w:ilvl="1" w:tplc="08070019">
      <w:start w:val="1"/>
      <w:numFmt w:val="lowerLetter"/>
      <w:lvlText w:val="%2."/>
      <w:lvlJc w:val="left"/>
      <w:pPr>
        <w:ind w:left="1789" w:hanging="360"/>
      </w:pPr>
    </w:lvl>
    <w:lvl w:ilvl="2" w:tplc="0807001B">
      <w:start w:val="1"/>
      <w:numFmt w:val="lowerRoman"/>
      <w:lvlText w:val="%3."/>
      <w:lvlJc w:val="right"/>
      <w:pPr>
        <w:ind w:left="2509" w:hanging="180"/>
      </w:pPr>
    </w:lvl>
    <w:lvl w:ilvl="3" w:tplc="0807000F">
      <w:start w:val="1"/>
      <w:numFmt w:val="decimal"/>
      <w:lvlText w:val="%4."/>
      <w:lvlJc w:val="left"/>
      <w:pPr>
        <w:ind w:left="3229" w:hanging="360"/>
      </w:pPr>
    </w:lvl>
    <w:lvl w:ilvl="4" w:tplc="08070019">
      <w:start w:val="1"/>
      <w:numFmt w:val="lowerLetter"/>
      <w:lvlText w:val="%5."/>
      <w:lvlJc w:val="left"/>
      <w:pPr>
        <w:ind w:left="3949" w:hanging="360"/>
      </w:pPr>
    </w:lvl>
    <w:lvl w:ilvl="5" w:tplc="0807001B">
      <w:start w:val="1"/>
      <w:numFmt w:val="lowerRoman"/>
      <w:lvlText w:val="%6."/>
      <w:lvlJc w:val="right"/>
      <w:pPr>
        <w:ind w:left="4669" w:hanging="180"/>
      </w:pPr>
    </w:lvl>
    <w:lvl w:ilvl="6" w:tplc="0807000F">
      <w:start w:val="1"/>
      <w:numFmt w:val="decimal"/>
      <w:lvlText w:val="%7."/>
      <w:lvlJc w:val="left"/>
      <w:pPr>
        <w:ind w:left="5389" w:hanging="360"/>
      </w:pPr>
    </w:lvl>
    <w:lvl w:ilvl="7" w:tplc="08070019">
      <w:start w:val="1"/>
      <w:numFmt w:val="lowerLetter"/>
      <w:lvlText w:val="%8."/>
      <w:lvlJc w:val="left"/>
      <w:pPr>
        <w:ind w:left="6109" w:hanging="360"/>
      </w:pPr>
    </w:lvl>
    <w:lvl w:ilvl="8" w:tplc="0807001B">
      <w:start w:val="1"/>
      <w:numFmt w:val="lowerRoman"/>
      <w:lvlText w:val="%9."/>
      <w:lvlJc w:val="right"/>
      <w:pPr>
        <w:ind w:left="6829" w:hanging="180"/>
      </w:pPr>
    </w:lvl>
  </w:abstractNum>
  <w:abstractNum w:abstractNumId="26">
    <w:nsid w:val="78C8644B"/>
    <w:multiLevelType w:val="hybridMultilevel"/>
    <w:tmpl w:val="06FC54A4"/>
    <w:lvl w:ilvl="0" w:tplc="08070019">
      <w:start w:val="1"/>
      <w:numFmt w:val="lowerLetter"/>
      <w:lvlText w:val="%1."/>
      <w:lvlJc w:val="left"/>
      <w:pPr>
        <w:ind w:left="1069" w:hanging="360"/>
      </w:pPr>
    </w:lvl>
    <w:lvl w:ilvl="1" w:tplc="08070019">
      <w:start w:val="1"/>
      <w:numFmt w:val="lowerLetter"/>
      <w:lvlText w:val="%2."/>
      <w:lvlJc w:val="left"/>
      <w:pPr>
        <w:ind w:left="1789" w:hanging="360"/>
      </w:pPr>
    </w:lvl>
    <w:lvl w:ilvl="2" w:tplc="0807001B">
      <w:start w:val="1"/>
      <w:numFmt w:val="lowerRoman"/>
      <w:lvlText w:val="%3."/>
      <w:lvlJc w:val="right"/>
      <w:pPr>
        <w:ind w:left="2509" w:hanging="180"/>
      </w:pPr>
    </w:lvl>
    <w:lvl w:ilvl="3" w:tplc="0807000F">
      <w:start w:val="1"/>
      <w:numFmt w:val="decimal"/>
      <w:lvlText w:val="%4."/>
      <w:lvlJc w:val="left"/>
      <w:pPr>
        <w:ind w:left="3229" w:hanging="360"/>
      </w:pPr>
    </w:lvl>
    <w:lvl w:ilvl="4" w:tplc="08070019">
      <w:start w:val="1"/>
      <w:numFmt w:val="lowerLetter"/>
      <w:lvlText w:val="%5."/>
      <w:lvlJc w:val="left"/>
      <w:pPr>
        <w:ind w:left="3949" w:hanging="360"/>
      </w:pPr>
    </w:lvl>
    <w:lvl w:ilvl="5" w:tplc="0807001B">
      <w:start w:val="1"/>
      <w:numFmt w:val="lowerRoman"/>
      <w:lvlText w:val="%6."/>
      <w:lvlJc w:val="right"/>
      <w:pPr>
        <w:ind w:left="4669" w:hanging="180"/>
      </w:pPr>
    </w:lvl>
    <w:lvl w:ilvl="6" w:tplc="0807000F">
      <w:start w:val="1"/>
      <w:numFmt w:val="decimal"/>
      <w:lvlText w:val="%7."/>
      <w:lvlJc w:val="left"/>
      <w:pPr>
        <w:ind w:left="5389" w:hanging="360"/>
      </w:pPr>
    </w:lvl>
    <w:lvl w:ilvl="7" w:tplc="08070019">
      <w:start w:val="1"/>
      <w:numFmt w:val="lowerLetter"/>
      <w:lvlText w:val="%8."/>
      <w:lvlJc w:val="left"/>
      <w:pPr>
        <w:ind w:left="6109" w:hanging="360"/>
      </w:pPr>
    </w:lvl>
    <w:lvl w:ilvl="8" w:tplc="0807001B">
      <w:start w:val="1"/>
      <w:numFmt w:val="lowerRoman"/>
      <w:lvlText w:val="%9."/>
      <w:lvlJc w:val="right"/>
      <w:pPr>
        <w:ind w:left="6829" w:hanging="180"/>
      </w:pPr>
    </w:lvl>
  </w:abstractNum>
  <w:abstractNum w:abstractNumId="27">
    <w:nsid w:val="7A15473F"/>
    <w:multiLevelType w:val="multilevel"/>
    <w:tmpl w:val="09DEF078"/>
    <w:lvl w:ilvl="0">
      <w:start w:val="1"/>
      <w:numFmt w:val="decimal"/>
      <w:pStyle w:val="Nummerierung1231"/>
      <w:lvlText w:val="%1."/>
      <w:lvlJc w:val="left"/>
      <w:pPr>
        <w:tabs>
          <w:tab w:val="num" w:pos="709"/>
        </w:tabs>
        <w:ind w:left="709" w:hanging="709"/>
      </w:pPr>
      <w:rPr>
        <w:rFonts w:hint="default"/>
      </w:rPr>
    </w:lvl>
    <w:lvl w:ilvl="1">
      <w:start w:val="1"/>
      <w:numFmt w:val="decimal"/>
      <w:pStyle w:val="Nummerierung1232"/>
      <w:lvlText w:val="%2."/>
      <w:lvlJc w:val="left"/>
      <w:pPr>
        <w:tabs>
          <w:tab w:val="num" w:pos="1418"/>
        </w:tabs>
        <w:ind w:left="1418" w:hanging="709"/>
      </w:pPr>
      <w:rPr>
        <w:rFonts w:hint="default"/>
      </w:rPr>
    </w:lvl>
    <w:lvl w:ilvl="2">
      <w:start w:val="1"/>
      <w:numFmt w:val="decimal"/>
      <w:pStyle w:val="Nummerierung1233"/>
      <w:lvlText w:val="%3."/>
      <w:lvlJc w:val="left"/>
      <w:pPr>
        <w:tabs>
          <w:tab w:val="num" w:pos="2126"/>
        </w:tabs>
        <w:ind w:left="2126" w:hanging="708"/>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8">
    <w:nsid w:val="7D9F219E"/>
    <w:multiLevelType w:val="multilevel"/>
    <w:tmpl w:val="CB3A27A2"/>
    <w:lvl w:ilvl="0">
      <w:start w:val="1"/>
      <w:numFmt w:val="upperLetter"/>
      <w:pStyle w:val="berschrift1"/>
      <w:lvlText w:val="%1."/>
      <w:lvlJc w:val="left"/>
      <w:pPr>
        <w:tabs>
          <w:tab w:val="num" w:pos="709"/>
        </w:tabs>
        <w:ind w:left="709" w:hanging="709"/>
      </w:pPr>
      <w:rPr>
        <w:rFonts w:hint="default"/>
      </w:rPr>
    </w:lvl>
    <w:lvl w:ilvl="1">
      <w:start w:val="1"/>
      <w:numFmt w:val="upperRoman"/>
      <w:pStyle w:val="berschrift2"/>
      <w:lvlText w:val="%2."/>
      <w:lvlJc w:val="left"/>
      <w:pPr>
        <w:tabs>
          <w:tab w:val="num" w:pos="709"/>
        </w:tabs>
        <w:ind w:left="709" w:hanging="709"/>
      </w:pPr>
      <w:rPr>
        <w:rFonts w:hint="default"/>
      </w:rPr>
    </w:lvl>
    <w:lvl w:ilvl="2">
      <w:start w:val="1"/>
      <w:numFmt w:val="decimal"/>
      <w:pStyle w:val="berschrift3"/>
      <w:lvlText w:val="%3."/>
      <w:lvlJc w:val="left"/>
      <w:pPr>
        <w:tabs>
          <w:tab w:val="num" w:pos="709"/>
        </w:tabs>
        <w:ind w:left="709" w:hanging="709"/>
      </w:pPr>
      <w:rPr>
        <w:rFonts w:hint="default"/>
      </w:rPr>
    </w:lvl>
    <w:lvl w:ilvl="3">
      <w:start w:val="1"/>
      <w:numFmt w:val="decimal"/>
      <w:pStyle w:val="berschrift4"/>
      <w:lvlText w:val="%3.%4"/>
      <w:lvlJc w:val="left"/>
      <w:pPr>
        <w:tabs>
          <w:tab w:val="num" w:pos="709"/>
        </w:tabs>
        <w:ind w:left="709" w:hanging="709"/>
      </w:pPr>
      <w:rPr>
        <w:rFonts w:hint="default"/>
      </w:rPr>
    </w:lvl>
    <w:lvl w:ilvl="4">
      <w:start w:val="1"/>
      <w:numFmt w:val="decimal"/>
      <w:pStyle w:val="berschrift5"/>
      <w:lvlText w:val="%3.%4.%5"/>
      <w:lvlJc w:val="left"/>
      <w:pPr>
        <w:tabs>
          <w:tab w:val="num" w:pos="709"/>
        </w:tabs>
        <w:ind w:left="709" w:hanging="709"/>
      </w:pPr>
      <w:rPr>
        <w:rFonts w:hint="default"/>
      </w:rPr>
    </w:lvl>
    <w:lvl w:ilvl="5">
      <w:start w:val="1"/>
      <w:numFmt w:val="lowerLetter"/>
      <w:pStyle w:val="berschrift6"/>
      <w:lvlText w:val="(%6)"/>
      <w:lvlJc w:val="left"/>
      <w:pPr>
        <w:tabs>
          <w:tab w:val="num" w:pos="709"/>
        </w:tabs>
        <w:ind w:left="709" w:hanging="709"/>
      </w:pPr>
      <w:rPr>
        <w:rFonts w:hint="default"/>
        <w:b w:val="0"/>
        <w:i/>
      </w:rPr>
    </w:lvl>
    <w:lvl w:ilvl="6">
      <w:start w:val="27"/>
      <w:numFmt w:val="lowerLetter"/>
      <w:pStyle w:val="berschrift7"/>
      <w:lvlText w:val="(%7)"/>
      <w:lvlJc w:val="left"/>
      <w:pPr>
        <w:tabs>
          <w:tab w:val="num" w:pos="709"/>
        </w:tabs>
        <w:ind w:left="709" w:hanging="709"/>
      </w:pPr>
      <w:rPr>
        <w:rFonts w:hint="default"/>
        <w:b w:val="0"/>
        <w:i/>
      </w:rPr>
    </w:lvl>
    <w:lvl w:ilvl="7">
      <w:start w:val="53"/>
      <w:numFmt w:val="lowerLetter"/>
      <w:pStyle w:val="berschrift8"/>
      <w:lvlText w:val="(%8)"/>
      <w:lvlJc w:val="left"/>
      <w:pPr>
        <w:tabs>
          <w:tab w:val="num" w:pos="709"/>
        </w:tabs>
        <w:ind w:left="709" w:hanging="709"/>
      </w:pPr>
      <w:rPr>
        <w:rFonts w:hint="default"/>
        <w:b w:val="0"/>
        <w:i/>
      </w:rPr>
    </w:lvl>
    <w:lvl w:ilvl="8">
      <w:start w:val="1"/>
      <w:numFmt w:val="lowerRoman"/>
      <w:pStyle w:val="berschrift9"/>
      <w:lvlText w:val="%9."/>
      <w:lvlJc w:val="left"/>
      <w:pPr>
        <w:tabs>
          <w:tab w:val="num" w:pos="709"/>
        </w:tabs>
        <w:ind w:left="709" w:hanging="709"/>
      </w:pPr>
      <w:rPr>
        <w:rFonts w:hint="default"/>
      </w:rPr>
    </w:lvl>
  </w:abstractNum>
  <w:num w:numId="1">
    <w:abstractNumId w:val="27"/>
  </w:num>
  <w:num w:numId="2">
    <w:abstractNumId w:val="3"/>
  </w:num>
  <w:num w:numId="3">
    <w:abstractNumId w:val="22"/>
  </w:num>
  <w:num w:numId="4">
    <w:abstractNumId w:val="11"/>
  </w:num>
  <w:num w:numId="5">
    <w:abstractNumId w:val="28"/>
  </w:num>
  <w:num w:numId="6">
    <w:abstractNumId w:val="24"/>
  </w:num>
  <w:num w:numId="7">
    <w:abstractNumId w:val="12"/>
  </w:num>
  <w:num w:numId="8">
    <w:abstractNumId w:val="6"/>
  </w:num>
  <w:num w:numId="9">
    <w:abstractNumId w:val="21"/>
  </w:num>
  <w:num w:numId="10">
    <w:abstractNumId w:val="16"/>
  </w:num>
  <w:num w:numId="11">
    <w:abstractNumId w:val="7"/>
  </w:num>
  <w:num w:numId="12">
    <w:abstractNumId w:val="19"/>
  </w:num>
  <w:num w:numId="13">
    <w:abstractNumId w:val="20"/>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26"/>
  </w:num>
  <w:num w:numId="22">
    <w:abstractNumId w:val="23"/>
  </w:num>
  <w:num w:numId="23">
    <w:abstractNumId w:val="9"/>
  </w:num>
  <w:num w:numId="24">
    <w:abstractNumId w:val="0"/>
  </w:num>
  <w:num w:numId="25">
    <w:abstractNumId w:val="12"/>
  </w:num>
  <w:num w:numId="26">
    <w:abstractNumId w:val="12"/>
  </w:num>
  <w:num w:numId="27">
    <w:abstractNumId w:val="5"/>
  </w:num>
  <w:num w:numId="28">
    <w:abstractNumId w:val="8"/>
  </w:num>
  <w:num w:numId="29">
    <w:abstractNumId w:val="13"/>
  </w:num>
  <w:num w:numId="30">
    <w:abstractNumId w:val="14"/>
  </w:num>
  <w:num w:numId="31">
    <w:abstractNumId w:val="15"/>
  </w:num>
  <w:num w:numId="32">
    <w:abstractNumId w:val="7"/>
  </w:num>
  <w:num w:numId="33">
    <w:abstractNumId w:val="7"/>
  </w:num>
  <w:num w:numId="34">
    <w:abstractNumId w:val="7"/>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09"/>
  <w:autoHyphenation/>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Description" w:val="KGAST_Vorschlag mit Kommentar_150112"/>
    <w:docVar w:name="DocNumberVersion" w:val="8934550v1"/>
  </w:docVars>
  <w:rsids>
    <w:rsidRoot w:val="0004568E"/>
    <w:rsid w:val="000206D4"/>
    <w:rsid w:val="000225DF"/>
    <w:rsid w:val="00024DB7"/>
    <w:rsid w:val="00026D8B"/>
    <w:rsid w:val="00031476"/>
    <w:rsid w:val="00033346"/>
    <w:rsid w:val="00035EE3"/>
    <w:rsid w:val="0004092A"/>
    <w:rsid w:val="000412EE"/>
    <w:rsid w:val="00042FAC"/>
    <w:rsid w:val="00045484"/>
    <w:rsid w:val="0004568E"/>
    <w:rsid w:val="00051A28"/>
    <w:rsid w:val="0005520B"/>
    <w:rsid w:val="00060E16"/>
    <w:rsid w:val="00062A5D"/>
    <w:rsid w:val="00063F29"/>
    <w:rsid w:val="00064002"/>
    <w:rsid w:val="00067FCF"/>
    <w:rsid w:val="00071116"/>
    <w:rsid w:val="000750E9"/>
    <w:rsid w:val="000753CB"/>
    <w:rsid w:val="0007589E"/>
    <w:rsid w:val="000768D4"/>
    <w:rsid w:val="00080101"/>
    <w:rsid w:val="000858BE"/>
    <w:rsid w:val="00092FA0"/>
    <w:rsid w:val="00094DFB"/>
    <w:rsid w:val="000972F1"/>
    <w:rsid w:val="000A32C2"/>
    <w:rsid w:val="000A3CDF"/>
    <w:rsid w:val="000B0321"/>
    <w:rsid w:val="000B3A33"/>
    <w:rsid w:val="000B5D69"/>
    <w:rsid w:val="000C2A98"/>
    <w:rsid w:val="000C2CF4"/>
    <w:rsid w:val="000C6801"/>
    <w:rsid w:val="000D08D7"/>
    <w:rsid w:val="000D32AA"/>
    <w:rsid w:val="000D3427"/>
    <w:rsid w:val="000D651B"/>
    <w:rsid w:val="000F3ED4"/>
    <w:rsid w:val="001024CB"/>
    <w:rsid w:val="00104871"/>
    <w:rsid w:val="00105380"/>
    <w:rsid w:val="0011083C"/>
    <w:rsid w:val="001108DA"/>
    <w:rsid w:val="001109C0"/>
    <w:rsid w:val="00110D89"/>
    <w:rsid w:val="001126EA"/>
    <w:rsid w:val="001252B1"/>
    <w:rsid w:val="00127C75"/>
    <w:rsid w:val="00127DAD"/>
    <w:rsid w:val="00137845"/>
    <w:rsid w:val="00145EF2"/>
    <w:rsid w:val="001542DF"/>
    <w:rsid w:val="0016057C"/>
    <w:rsid w:val="00160B62"/>
    <w:rsid w:val="001623AD"/>
    <w:rsid w:val="00165403"/>
    <w:rsid w:val="00165967"/>
    <w:rsid w:val="00166A28"/>
    <w:rsid w:val="001670AD"/>
    <w:rsid w:val="001721D4"/>
    <w:rsid w:val="00173208"/>
    <w:rsid w:val="00174BA8"/>
    <w:rsid w:val="001751DA"/>
    <w:rsid w:val="00180056"/>
    <w:rsid w:val="001846C6"/>
    <w:rsid w:val="00185B55"/>
    <w:rsid w:val="00185D1C"/>
    <w:rsid w:val="0019211D"/>
    <w:rsid w:val="00192FCF"/>
    <w:rsid w:val="00193621"/>
    <w:rsid w:val="00193E2D"/>
    <w:rsid w:val="0019759C"/>
    <w:rsid w:val="001A52E2"/>
    <w:rsid w:val="001C0456"/>
    <w:rsid w:val="001C366A"/>
    <w:rsid w:val="001C37B8"/>
    <w:rsid w:val="001D31E5"/>
    <w:rsid w:val="001D3F46"/>
    <w:rsid w:val="001D44DF"/>
    <w:rsid w:val="001D5338"/>
    <w:rsid w:val="001D5605"/>
    <w:rsid w:val="001D582F"/>
    <w:rsid w:val="001D6498"/>
    <w:rsid w:val="001E22C6"/>
    <w:rsid w:val="001E6029"/>
    <w:rsid w:val="001E6F18"/>
    <w:rsid w:val="001E7389"/>
    <w:rsid w:val="001E7B90"/>
    <w:rsid w:val="001F1AA0"/>
    <w:rsid w:val="001F2324"/>
    <w:rsid w:val="001F289D"/>
    <w:rsid w:val="001F3F0F"/>
    <w:rsid w:val="001F5331"/>
    <w:rsid w:val="001F6D6D"/>
    <w:rsid w:val="001F70AF"/>
    <w:rsid w:val="0020118F"/>
    <w:rsid w:val="00205683"/>
    <w:rsid w:val="00211FA9"/>
    <w:rsid w:val="00212BA2"/>
    <w:rsid w:val="00213717"/>
    <w:rsid w:val="00222722"/>
    <w:rsid w:val="00222E59"/>
    <w:rsid w:val="00223F6E"/>
    <w:rsid w:val="00232128"/>
    <w:rsid w:val="00232D12"/>
    <w:rsid w:val="00233C2A"/>
    <w:rsid w:val="002341A1"/>
    <w:rsid w:val="00234DB6"/>
    <w:rsid w:val="00235178"/>
    <w:rsid w:val="00235781"/>
    <w:rsid w:val="002363DA"/>
    <w:rsid w:val="00240BC0"/>
    <w:rsid w:val="0024363F"/>
    <w:rsid w:val="00246C2D"/>
    <w:rsid w:val="002523AB"/>
    <w:rsid w:val="00254C93"/>
    <w:rsid w:val="00257D0E"/>
    <w:rsid w:val="002617DB"/>
    <w:rsid w:val="002630F4"/>
    <w:rsid w:val="00264DE8"/>
    <w:rsid w:val="00266B77"/>
    <w:rsid w:val="00280DCB"/>
    <w:rsid w:val="002847A8"/>
    <w:rsid w:val="00285200"/>
    <w:rsid w:val="00285313"/>
    <w:rsid w:val="00286BF2"/>
    <w:rsid w:val="002922D8"/>
    <w:rsid w:val="00294D30"/>
    <w:rsid w:val="002A0476"/>
    <w:rsid w:val="002A1A8C"/>
    <w:rsid w:val="002A3923"/>
    <w:rsid w:val="002A5582"/>
    <w:rsid w:val="002A59BE"/>
    <w:rsid w:val="002A6C02"/>
    <w:rsid w:val="002B4014"/>
    <w:rsid w:val="002B4F3D"/>
    <w:rsid w:val="002C0BA8"/>
    <w:rsid w:val="002C332D"/>
    <w:rsid w:val="002C4A0D"/>
    <w:rsid w:val="002C6E5B"/>
    <w:rsid w:val="002E077E"/>
    <w:rsid w:val="002E0D4E"/>
    <w:rsid w:val="002E3BEE"/>
    <w:rsid w:val="002E3D03"/>
    <w:rsid w:val="002E6DEC"/>
    <w:rsid w:val="002E7535"/>
    <w:rsid w:val="002F0D64"/>
    <w:rsid w:val="002F3FA0"/>
    <w:rsid w:val="002F41C8"/>
    <w:rsid w:val="002F4BFF"/>
    <w:rsid w:val="002F7474"/>
    <w:rsid w:val="002F7949"/>
    <w:rsid w:val="0030499C"/>
    <w:rsid w:val="003074A1"/>
    <w:rsid w:val="00310188"/>
    <w:rsid w:val="00312DEB"/>
    <w:rsid w:val="00316CD7"/>
    <w:rsid w:val="00321670"/>
    <w:rsid w:val="00323367"/>
    <w:rsid w:val="003245C2"/>
    <w:rsid w:val="00324749"/>
    <w:rsid w:val="0032571E"/>
    <w:rsid w:val="00330A68"/>
    <w:rsid w:val="00331024"/>
    <w:rsid w:val="003356BF"/>
    <w:rsid w:val="003359ED"/>
    <w:rsid w:val="00336B45"/>
    <w:rsid w:val="003376B6"/>
    <w:rsid w:val="003425AA"/>
    <w:rsid w:val="00347A11"/>
    <w:rsid w:val="0035774C"/>
    <w:rsid w:val="00357AB7"/>
    <w:rsid w:val="00362DB4"/>
    <w:rsid w:val="00364B91"/>
    <w:rsid w:val="003734EE"/>
    <w:rsid w:val="00377014"/>
    <w:rsid w:val="003770C8"/>
    <w:rsid w:val="003A5DBF"/>
    <w:rsid w:val="003B38B0"/>
    <w:rsid w:val="003B68B1"/>
    <w:rsid w:val="003C1186"/>
    <w:rsid w:val="003C37A3"/>
    <w:rsid w:val="003C4862"/>
    <w:rsid w:val="003C4B5D"/>
    <w:rsid w:val="003D0B43"/>
    <w:rsid w:val="003D1930"/>
    <w:rsid w:val="003D1FD0"/>
    <w:rsid w:val="003D33EA"/>
    <w:rsid w:val="003D4599"/>
    <w:rsid w:val="003D5BC2"/>
    <w:rsid w:val="003E17DB"/>
    <w:rsid w:val="003E21DD"/>
    <w:rsid w:val="003E3B5A"/>
    <w:rsid w:val="003F174E"/>
    <w:rsid w:val="003F2627"/>
    <w:rsid w:val="003F6BC3"/>
    <w:rsid w:val="003F702E"/>
    <w:rsid w:val="004042D6"/>
    <w:rsid w:val="00406A41"/>
    <w:rsid w:val="004110C1"/>
    <w:rsid w:val="00413DEB"/>
    <w:rsid w:val="00414559"/>
    <w:rsid w:val="00415404"/>
    <w:rsid w:val="00421797"/>
    <w:rsid w:val="00427CCC"/>
    <w:rsid w:val="00432149"/>
    <w:rsid w:val="004359D1"/>
    <w:rsid w:val="00435DE4"/>
    <w:rsid w:val="004407B2"/>
    <w:rsid w:val="00445BAA"/>
    <w:rsid w:val="004477F0"/>
    <w:rsid w:val="00457CA3"/>
    <w:rsid w:val="0046244E"/>
    <w:rsid w:val="00462E02"/>
    <w:rsid w:val="004640FA"/>
    <w:rsid w:val="004650E9"/>
    <w:rsid w:val="00467323"/>
    <w:rsid w:val="00474AB5"/>
    <w:rsid w:val="00474BC6"/>
    <w:rsid w:val="0047616C"/>
    <w:rsid w:val="004820FE"/>
    <w:rsid w:val="00484CAA"/>
    <w:rsid w:val="0049098C"/>
    <w:rsid w:val="00492F6F"/>
    <w:rsid w:val="00495A45"/>
    <w:rsid w:val="004A26DE"/>
    <w:rsid w:val="004A3762"/>
    <w:rsid w:val="004A4EBE"/>
    <w:rsid w:val="004B5732"/>
    <w:rsid w:val="004B583A"/>
    <w:rsid w:val="004B7432"/>
    <w:rsid w:val="004C1083"/>
    <w:rsid w:val="004C5C09"/>
    <w:rsid w:val="004C5D15"/>
    <w:rsid w:val="004D025B"/>
    <w:rsid w:val="004D146E"/>
    <w:rsid w:val="004D39B9"/>
    <w:rsid w:val="004D47EB"/>
    <w:rsid w:val="004D4A5E"/>
    <w:rsid w:val="004D737F"/>
    <w:rsid w:val="004E4D1C"/>
    <w:rsid w:val="004E612D"/>
    <w:rsid w:val="004F397F"/>
    <w:rsid w:val="004F3FCB"/>
    <w:rsid w:val="00502F8D"/>
    <w:rsid w:val="005038DC"/>
    <w:rsid w:val="00504742"/>
    <w:rsid w:val="005056D0"/>
    <w:rsid w:val="005058B4"/>
    <w:rsid w:val="00505977"/>
    <w:rsid w:val="00506724"/>
    <w:rsid w:val="005113F9"/>
    <w:rsid w:val="00511D31"/>
    <w:rsid w:val="0051213A"/>
    <w:rsid w:val="0051216F"/>
    <w:rsid w:val="00517E08"/>
    <w:rsid w:val="00522580"/>
    <w:rsid w:val="005230AA"/>
    <w:rsid w:val="005238C3"/>
    <w:rsid w:val="00524830"/>
    <w:rsid w:val="00524E88"/>
    <w:rsid w:val="00530161"/>
    <w:rsid w:val="00531093"/>
    <w:rsid w:val="00533C4E"/>
    <w:rsid w:val="00534067"/>
    <w:rsid w:val="0054037E"/>
    <w:rsid w:val="00541C83"/>
    <w:rsid w:val="00541D36"/>
    <w:rsid w:val="005431B9"/>
    <w:rsid w:val="00543FF4"/>
    <w:rsid w:val="00544877"/>
    <w:rsid w:val="00545AFA"/>
    <w:rsid w:val="00546DCB"/>
    <w:rsid w:val="0055121F"/>
    <w:rsid w:val="00553606"/>
    <w:rsid w:val="00555315"/>
    <w:rsid w:val="00560471"/>
    <w:rsid w:val="005618C7"/>
    <w:rsid w:val="00566664"/>
    <w:rsid w:val="00573C32"/>
    <w:rsid w:val="005801C0"/>
    <w:rsid w:val="00580331"/>
    <w:rsid w:val="005811A9"/>
    <w:rsid w:val="0058164F"/>
    <w:rsid w:val="005835B7"/>
    <w:rsid w:val="0058392D"/>
    <w:rsid w:val="00583EC2"/>
    <w:rsid w:val="0058536C"/>
    <w:rsid w:val="005860F8"/>
    <w:rsid w:val="00594301"/>
    <w:rsid w:val="0059519F"/>
    <w:rsid w:val="00595CD4"/>
    <w:rsid w:val="00596437"/>
    <w:rsid w:val="005B07E9"/>
    <w:rsid w:val="005B18B8"/>
    <w:rsid w:val="005B1ABC"/>
    <w:rsid w:val="005B748C"/>
    <w:rsid w:val="005B75F2"/>
    <w:rsid w:val="005C123D"/>
    <w:rsid w:val="005C3E38"/>
    <w:rsid w:val="005C5C90"/>
    <w:rsid w:val="005C6762"/>
    <w:rsid w:val="005C7625"/>
    <w:rsid w:val="005D161B"/>
    <w:rsid w:val="005D1C82"/>
    <w:rsid w:val="005D1EA2"/>
    <w:rsid w:val="005E08DD"/>
    <w:rsid w:val="005E130E"/>
    <w:rsid w:val="005E23C6"/>
    <w:rsid w:val="005F2354"/>
    <w:rsid w:val="00600C4C"/>
    <w:rsid w:val="00602278"/>
    <w:rsid w:val="006032B0"/>
    <w:rsid w:val="0060670F"/>
    <w:rsid w:val="00616A5E"/>
    <w:rsid w:val="00616C9D"/>
    <w:rsid w:val="00617003"/>
    <w:rsid w:val="00620BCB"/>
    <w:rsid w:val="00623A80"/>
    <w:rsid w:val="00624DDE"/>
    <w:rsid w:val="0062720E"/>
    <w:rsid w:val="00631533"/>
    <w:rsid w:val="00636515"/>
    <w:rsid w:val="00643A5E"/>
    <w:rsid w:val="00654537"/>
    <w:rsid w:val="00655825"/>
    <w:rsid w:val="006616F1"/>
    <w:rsid w:val="00662475"/>
    <w:rsid w:val="006639AF"/>
    <w:rsid w:val="00663ECF"/>
    <w:rsid w:val="006646AF"/>
    <w:rsid w:val="00666289"/>
    <w:rsid w:val="00666960"/>
    <w:rsid w:val="0067036A"/>
    <w:rsid w:val="006734DF"/>
    <w:rsid w:val="00674179"/>
    <w:rsid w:val="00674B32"/>
    <w:rsid w:val="006903B0"/>
    <w:rsid w:val="00691D17"/>
    <w:rsid w:val="006928EB"/>
    <w:rsid w:val="0069750A"/>
    <w:rsid w:val="006A146D"/>
    <w:rsid w:val="006A5B35"/>
    <w:rsid w:val="006A64E5"/>
    <w:rsid w:val="006B2DB2"/>
    <w:rsid w:val="006C2723"/>
    <w:rsid w:val="006C7A41"/>
    <w:rsid w:val="006D2EC3"/>
    <w:rsid w:val="006D6514"/>
    <w:rsid w:val="006D754B"/>
    <w:rsid w:val="006E1A93"/>
    <w:rsid w:val="006E2B58"/>
    <w:rsid w:val="006E472B"/>
    <w:rsid w:val="006E4D5C"/>
    <w:rsid w:val="006E6365"/>
    <w:rsid w:val="006F0959"/>
    <w:rsid w:val="006F0E93"/>
    <w:rsid w:val="006F3A03"/>
    <w:rsid w:val="007030BE"/>
    <w:rsid w:val="007040C1"/>
    <w:rsid w:val="00711251"/>
    <w:rsid w:val="0071183E"/>
    <w:rsid w:val="007131CB"/>
    <w:rsid w:val="00713347"/>
    <w:rsid w:val="00714089"/>
    <w:rsid w:val="00715E72"/>
    <w:rsid w:val="00716272"/>
    <w:rsid w:val="00725089"/>
    <w:rsid w:val="0072561B"/>
    <w:rsid w:val="00725CB1"/>
    <w:rsid w:val="0073650A"/>
    <w:rsid w:val="007456D0"/>
    <w:rsid w:val="00750FF9"/>
    <w:rsid w:val="00751BE4"/>
    <w:rsid w:val="00751ED4"/>
    <w:rsid w:val="0075621C"/>
    <w:rsid w:val="007567B8"/>
    <w:rsid w:val="0075702F"/>
    <w:rsid w:val="0076426A"/>
    <w:rsid w:val="007714F7"/>
    <w:rsid w:val="00773513"/>
    <w:rsid w:val="00774CE0"/>
    <w:rsid w:val="007765DC"/>
    <w:rsid w:val="0078259C"/>
    <w:rsid w:val="007829B1"/>
    <w:rsid w:val="00785066"/>
    <w:rsid w:val="00790B38"/>
    <w:rsid w:val="00790FF9"/>
    <w:rsid w:val="00795440"/>
    <w:rsid w:val="007A03B1"/>
    <w:rsid w:val="007A1EC8"/>
    <w:rsid w:val="007A257C"/>
    <w:rsid w:val="007A52AA"/>
    <w:rsid w:val="007A5DD3"/>
    <w:rsid w:val="007B4A09"/>
    <w:rsid w:val="007B5B06"/>
    <w:rsid w:val="007B6E8E"/>
    <w:rsid w:val="007C13F8"/>
    <w:rsid w:val="007C1A50"/>
    <w:rsid w:val="007C1C54"/>
    <w:rsid w:val="007C1CFE"/>
    <w:rsid w:val="007C243A"/>
    <w:rsid w:val="007C408C"/>
    <w:rsid w:val="007C625D"/>
    <w:rsid w:val="007D09F5"/>
    <w:rsid w:val="007D4B95"/>
    <w:rsid w:val="007E1081"/>
    <w:rsid w:val="007E1565"/>
    <w:rsid w:val="007E60A1"/>
    <w:rsid w:val="007F0A53"/>
    <w:rsid w:val="007F3FFC"/>
    <w:rsid w:val="007F4C8C"/>
    <w:rsid w:val="008029CB"/>
    <w:rsid w:val="00813AA1"/>
    <w:rsid w:val="008173F7"/>
    <w:rsid w:val="00817823"/>
    <w:rsid w:val="00820FB6"/>
    <w:rsid w:val="008214B0"/>
    <w:rsid w:val="008224BE"/>
    <w:rsid w:val="00823786"/>
    <w:rsid w:val="00824E7A"/>
    <w:rsid w:val="00830D13"/>
    <w:rsid w:val="0083349C"/>
    <w:rsid w:val="00843543"/>
    <w:rsid w:val="00846ACB"/>
    <w:rsid w:val="008478CE"/>
    <w:rsid w:val="00850255"/>
    <w:rsid w:val="00852F76"/>
    <w:rsid w:val="00853696"/>
    <w:rsid w:val="00853F3A"/>
    <w:rsid w:val="0085636D"/>
    <w:rsid w:val="00856BF8"/>
    <w:rsid w:val="00860557"/>
    <w:rsid w:val="00860C2D"/>
    <w:rsid w:val="008614C0"/>
    <w:rsid w:val="008640B5"/>
    <w:rsid w:val="00867D85"/>
    <w:rsid w:val="0088002D"/>
    <w:rsid w:val="0088322E"/>
    <w:rsid w:val="008839E7"/>
    <w:rsid w:val="008842D4"/>
    <w:rsid w:val="008846E5"/>
    <w:rsid w:val="00887D77"/>
    <w:rsid w:val="0089417F"/>
    <w:rsid w:val="00895E62"/>
    <w:rsid w:val="0089607B"/>
    <w:rsid w:val="008A0B93"/>
    <w:rsid w:val="008A1969"/>
    <w:rsid w:val="008A37AF"/>
    <w:rsid w:val="008B77BD"/>
    <w:rsid w:val="008C2270"/>
    <w:rsid w:val="008C7254"/>
    <w:rsid w:val="008C7BEC"/>
    <w:rsid w:val="008C7C02"/>
    <w:rsid w:val="008C7CF5"/>
    <w:rsid w:val="008D0190"/>
    <w:rsid w:val="008D17EE"/>
    <w:rsid w:val="008D1C0D"/>
    <w:rsid w:val="008D38D0"/>
    <w:rsid w:val="008D645C"/>
    <w:rsid w:val="008E3C66"/>
    <w:rsid w:val="008E45F0"/>
    <w:rsid w:val="008E6D5D"/>
    <w:rsid w:val="008E73C7"/>
    <w:rsid w:val="008F009A"/>
    <w:rsid w:val="008F0C6E"/>
    <w:rsid w:val="008F2C42"/>
    <w:rsid w:val="008F2DE7"/>
    <w:rsid w:val="008F3A89"/>
    <w:rsid w:val="008F7BCD"/>
    <w:rsid w:val="009021A2"/>
    <w:rsid w:val="00916246"/>
    <w:rsid w:val="00923C4B"/>
    <w:rsid w:val="0092495E"/>
    <w:rsid w:val="00926C72"/>
    <w:rsid w:val="00930CBB"/>
    <w:rsid w:val="00932380"/>
    <w:rsid w:val="00935838"/>
    <w:rsid w:val="0094178B"/>
    <w:rsid w:val="009423FC"/>
    <w:rsid w:val="0094289E"/>
    <w:rsid w:val="00942DF0"/>
    <w:rsid w:val="009472A4"/>
    <w:rsid w:val="00954C88"/>
    <w:rsid w:val="009576A8"/>
    <w:rsid w:val="00960FDD"/>
    <w:rsid w:val="009622B9"/>
    <w:rsid w:val="0097460C"/>
    <w:rsid w:val="009819F3"/>
    <w:rsid w:val="00982DBA"/>
    <w:rsid w:val="00983A8A"/>
    <w:rsid w:val="00985207"/>
    <w:rsid w:val="0098622F"/>
    <w:rsid w:val="009871AF"/>
    <w:rsid w:val="00992050"/>
    <w:rsid w:val="009A5DA2"/>
    <w:rsid w:val="009A6AD6"/>
    <w:rsid w:val="009A6D66"/>
    <w:rsid w:val="009A6DEC"/>
    <w:rsid w:val="009A7A05"/>
    <w:rsid w:val="009B0D4A"/>
    <w:rsid w:val="009B36C0"/>
    <w:rsid w:val="009B731C"/>
    <w:rsid w:val="009C0149"/>
    <w:rsid w:val="009C2977"/>
    <w:rsid w:val="009C63B0"/>
    <w:rsid w:val="009D2687"/>
    <w:rsid w:val="009D45F8"/>
    <w:rsid w:val="009D4DB5"/>
    <w:rsid w:val="009E287C"/>
    <w:rsid w:val="009E5DD6"/>
    <w:rsid w:val="009E7073"/>
    <w:rsid w:val="009F72B7"/>
    <w:rsid w:val="00A00CFE"/>
    <w:rsid w:val="00A01026"/>
    <w:rsid w:val="00A010F1"/>
    <w:rsid w:val="00A01BF6"/>
    <w:rsid w:val="00A032C3"/>
    <w:rsid w:val="00A0457A"/>
    <w:rsid w:val="00A05CF0"/>
    <w:rsid w:val="00A06222"/>
    <w:rsid w:val="00A06F2F"/>
    <w:rsid w:val="00A15FD1"/>
    <w:rsid w:val="00A165D6"/>
    <w:rsid w:val="00A220A9"/>
    <w:rsid w:val="00A22BA9"/>
    <w:rsid w:val="00A2314D"/>
    <w:rsid w:val="00A33818"/>
    <w:rsid w:val="00A3385F"/>
    <w:rsid w:val="00A36C38"/>
    <w:rsid w:val="00A462F1"/>
    <w:rsid w:val="00A464AE"/>
    <w:rsid w:val="00A510DE"/>
    <w:rsid w:val="00A54AAF"/>
    <w:rsid w:val="00A56704"/>
    <w:rsid w:val="00A603E3"/>
    <w:rsid w:val="00A6432E"/>
    <w:rsid w:val="00A74BB2"/>
    <w:rsid w:val="00A84263"/>
    <w:rsid w:val="00A8763E"/>
    <w:rsid w:val="00A94391"/>
    <w:rsid w:val="00AA2D4A"/>
    <w:rsid w:val="00AA3211"/>
    <w:rsid w:val="00AB0B90"/>
    <w:rsid w:val="00AB171A"/>
    <w:rsid w:val="00AC38A7"/>
    <w:rsid w:val="00AC3B68"/>
    <w:rsid w:val="00AC4C7E"/>
    <w:rsid w:val="00AC6C0B"/>
    <w:rsid w:val="00AD1F8A"/>
    <w:rsid w:val="00AE1585"/>
    <w:rsid w:val="00AE2E59"/>
    <w:rsid w:val="00AE47BE"/>
    <w:rsid w:val="00AF30F2"/>
    <w:rsid w:val="00AF7E2B"/>
    <w:rsid w:val="00B022AA"/>
    <w:rsid w:val="00B02399"/>
    <w:rsid w:val="00B04BE5"/>
    <w:rsid w:val="00B130EA"/>
    <w:rsid w:val="00B132A9"/>
    <w:rsid w:val="00B14B3A"/>
    <w:rsid w:val="00B1608A"/>
    <w:rsid w:val="00B22D20"/>
    <w:rsid w:val="00B25461"/>
    <w:rsid w:val="00B30C59"/>
    <w:rsid w:val="00B32CC9"/>
    <w:rsid w:val="00B3676C"/>
    <w:rsid w:val="00B3747F"/>
    <w:rsid w:val="00B45715"/>
    <w:rsid w:val="00B503B9"/>
    <w:rsid w:val="00B528AF"/>
    <w:rsid w:val="00B54775"/>
    <w:rsid w:val="00B56402"/>
    <w:rsid w:val="00B63476"/>
    <w:rsid w:val="00B649ED"/>
    <w:rsid w:val="00B667BF"/>
    <w:rsid w:val="00B74DAD"/>
    <w:rsid w:val="00B76D47"/>
    <w:rsid w:val="00B81C1E"/>
    <w:rsid w:val="00B86778"/>
    <w:rsid w:val="00B92F70"/>
    <w:rsid w:val="00B934FC"/>
    <w:rsid w:val="00BA1E10"/>
    <w:rsid w:val="00BA4A23"/>
    <w:rsid w:val="00BA4CA8"/>
    <w:rsid w:val="00BA617A"/>
    <w:rsid w:val="00BA7E17"/>
    <w:rsid w:val="00BB074F"/>
    <w:rsid w:val="00BB2B4D"/>
    <w:rsid w:val="00BB4DF8"/>
    <w:rsid w:val="00BB5391"/>
    <w:rsid w:val="00BC1A3A"/>
    <w:rsid w:val="00BC4686"/>
    <w:rsid w:val="00BD6334"/>
    <w:rsid w:val="00BE0615"/>
    <w:rsid w:val="00BE5B3F"/>
    <w:rsid w:val="00BE5EEB"/>
    <w:rsid w:val="00BE6A8D"/>
    <w:rsid w:val="00BF28CB"/>
    <w:rsid w:val="00BF5CD3"/>
    <w:rsid w:val="00C0084B"/>
    <w:rsid w:val="00C0206A"/>
    <w:rsid w:val="00C03852"/>
    <w:rsid w:val="00C03AF8"/>
    <w:rsid w:val="00C03BE5"/>
    <w:rsid w:val="00C041B8"/>
    <w:rsid w:val="00C0430F"/>
    <w:rsid w:val="00C12502"/>
    <w:rsid w:val="00C13A12"/>
    <w:rsid w:val="00C22C93"/>
    <w:rsid w:val="00C22DF8"/>
    <w:rsid w:val="00C270C7"/>
    <w:rsid w:val="00C30065"/>
    <w:rsid w:val="00C3080B"/>
    <w:rsid w:val="00C3123A"/>
    <w:rsid w:val="00C316E8"/>
    <w:rsid w:val="00C3185D"/>
    <w:rsid w:val="00C32A2F"/>
    <w:rsid w:val="00C33583"/>
    <w:rsid w:val="00C33A99"/>
    <w:rsid w:val="00C34C11"/>
    <w:rsid w:val="00C36573"/>
    <w:rsid w:val="00C4046F"/>
    <w:rsid w:val="00C45C7E"/>
    <w:rsid w:val="00C50E83"/>
    <w:rsid w:val="00C52A85"/>
    <w:rsid w:val="00C609C6"/>
    <w:rsid w:val="00C673FA"/>
    <w:rsid w:val="00C67E5B"/>
    <w:rsid w:val="00C70967"/>
    <w:rsid w:val="00C70B39"/>
    <w:rsid w:val="00C72BF5"/>
    <w:rsid w:val="00C72F3B"/>
    <w:rsid w:val="00C73126"/>
    <w:rsid w:val="00C7591F"/>
    <w:rsid w:val="00C80567"/>
    <w:rsid w:val="00C820C5"/>
    <w:rsid w:val="00C861F3"/>
    <w:rsid w:val="00C8740F"/>
    <w:rsid w:val="00C91521"/>
    <w:rsid w:val="00C92FCF"/>
    <w:rsid w:val="00C967B9"/>
    <w:rsid w:val="00CA3755"/>
    <w:rsid w:val="00CA57D5"/>
    <w:rsid w:val="00CB6695"/>
    <w:rsid w:val="00CB6827"/>
    <w:rsid w:val="00CB76AA"/>
    <w:rsid w:val="00CC2B15"/>
    <w:rsid w:val="00CC33FA"/>
    <w:rsid w:val="00CD48AC"/>
    <w:rsid w:val="00CD6A20"/>
    <w:rsid w:val="00CE07AF"/>
    <w:rsid w:val="00CE2342"/>
    <w:rsid w:val="00CE29F6"/>
    <w:rsid w:val="00CE3105"/>
    <w:rsid w:val="00CE3C74"/>
    <w:rsid w:val="00CE596E"/>
    <w:rsid w:val="00CE6780"/>
    <w:rsid w:val="00CE6B10"/>
    <w:rsid w:val="00CF267A"/>
    <w:rsid w:val="00CF4A28"/>
    <w:rsid w:val="00CF4E90"/>
    <w:rsid w:val="00CF5620"/>
    <w:rsid w:val="00CF7403"/>
    <w:rsid w:val="00D03D59"/>
    <w:rsid w:val="00D04973"/>
    <w:rsid w:val="00D05161"/>
    <w:rsid w:val="00D05888"/>
    <w:rsid w:val="00D0609F"/>
    <w:rsid w:val="00D1091B"/>
    <w:rsid w:val="00D11A5E"/>
    <w:rsid w:val="00D11FB8"/>
    <w:rsid w:val="00D15D31"/>
    <w:rsid w:val="00D24503"/>
    <w:rsid w:val="00D26A6E"/>
    <w:rsid w:val="00D32A08"/>
    <w:rsid w:val="00D34F26"/>
    <w:rsid w:val="00D360E4"/>
    <w:rsid w:val="00D42ABE"/>
    <w:rsid w:val="00D472A0"/>
    <w:rsid w:val="00D503B3"/>
    <w:rsid w:val="00D519DD"/>
    <w:rsid w:val="00D52CFE"/>
    <w:rsid w:val="00D53189"/>
    <w:rsid w:val="00D6030C"/>
    <w:rsid w:val="00D60F60"/>
    <w:rsid w:val="00D6284C"/>
    <w:rsid w:val="00D67D0E"/>
    <w:rsid w:val="00D705D2"/>
    <w:rsid w:val="00D70F16"/>
    <w:rsid w:val="00D71B00"/>
    <w:rsid w:val="00D74D6B"/>
    <w:rsid w:val="00D900D6"/>
    <w:rsid w:val="00D90813"/>
    <w:rsid w:val="00D92554"/>
    <w:rsid w:val="00D929E3"/>
    <w:rsid w:val="00D93C54"/>
    <w:rsid w:val="00DA59A8"/>
    <w:rsid w:val="00DB1F77"/>
    <w:rsid w:val="00DB2E22"/>
    <w:rsid w:val="00DB4AB8"/>
    <w:rsid w:val="00DB53AA"/>
    <w:rsid w:val="00DB79FE"/>
    <w:rsid w:val="00DC0256"/>
    <w:rsid w:val="00DC1B3C"/>
    <w:rsid w:val="00DC3EA1"/>
    <w:rsid w:val="00DC41F2"/>
    <w:rsid w:val="00DC4464"/>
    <w:rsid w:val="00DC4D82"/>
    <w:rsid w:val="00DD07E0"/>
    <w:rsid w:val="00DD39F0"/>
    <w:rsid w:val="00DD4530"/>
    <w:rsid w:val="00DE0CDC"/>
    <w:rsid w:val="00DE3C97"/>
    <w:rsid w:val="00DE3CE9"/>
    <w:rsid w:val="00DF6E70"/>
    <w:rsid w:val="00E00B2A"/>
    <w:rsid w:val="00E02600"/>
    <w:rsid w:val="00E034FC"/>
    <w:rsid w:val="00E04899"/>
    <w:rsid w:val="00E05235"/>
    <w:rsid w:val="00E065ED"/>
    <w:rsid w:val="00E07971"/>
    <w:rsid w:val="00E07B37"/>
    <w:rsid w:val="00E15A27"/>
    <w:rsid w:val="00E24BFF"/>
    <w:rsid w:val="00E25A19"/>
    <w:rsid w:val="00E261D3"/>
    <w:rsid w:val="00E26235"/>
    <w:rsid w:val="00E26B43"/>
    <w:rsid w:val="00E35D31"/>
    <w:rsid w:val="00E37C12"/>
    <w:rsid w:val="00E432EB"/>
    <w:rsid w:val="00E45D12"/>
    <w:rsid w:val="00E50094"/>
    <w:rsid w:val="00E51052"/>
    <w:rsid w:val="00E51FBD"/>
    <w:rsid w:val="00E548D4"/>
    <w:rsid w:val="00E57F62"/>
    <w:rsid w:val="00E63316"/>
    <w:rsid w:val="00E63FAF"/>
    <w:rsid w:val="00E64D7A"/>
    <w:rsid w:val="00E705B8"/>
    <w:rsid w:val="00E759D8"/>
    <w:rsid w:val="00E75D01"/>
    <w:rsid w:val="00E7701E"/>
    <w:rsid w:val="00E81834"/>
    <w:rsid w:val="00E81C09"/>
    <w:rsid w:val="00E83181"/>
    <w:rsid w:val="00E87B73"/>
    <w:rsid w:val="00E87C4E"/>
    <w:rsid w:val="00E934FA"/>
    <w:rsid w:val="00E94059"/>
    <w:rsid w:val="00E94424"/>
    <w:rsid w:val="00E95A05"/>
    <w:rsid w:val="00E95EE2"/>
    <w:rsid w:val="00EA1A55"/>
    <w:rsid w:val="00EA378B"/>
    <w:rsid w:val="00EA7120"/>
    <w:rsid w:val="00EB082D"/>
    <w:rsid w:val="00EB2A76"/>
    <w:rsid w:val="00EB31A6"/>
    <w:rsid w:val="00EB5647"/>
    <w:rsid w:val="00EB6AD3"/>
    <w:rsid w:val="00EC5A13"/>
    <w:rsid w:val="00ED280B"/>
    <w:rsid w:val="00ED7A5D"/>
    <w:rsid w:val="00EE0236"/>
    <w:rsid w:val="00EE33EE"/>
    <w:rsid w:val="00EF33B0"/>
    <w:rsid w:val="00EF5423"/>
    <w:rsid w:val="00EF68CF"/>
    <w:rsid w:val="00EF768A"/>
    <w:rsid w:val="00EF7FE6"/>
    <w:rsid w:val="00F008DB"/>
    <w:rsid w:val="00F01B3C"/>
    <w:rsid w:val="00F04193"/>
    <w:rsid w:val="00F041B4"/>
    <w:rsid w:val="00F05AF1"/>
    <w:rsid w:val="00F0682D"/>
    <w:rsid w:val="00F07117"/>
    <w:rsid w:val="00F15F97"/>
    <w:rsid w:val="00F2210C"/>
    <w:rsid w:val="00F22873"/>
    <w:rsid w:val="00F24409"/>
    <w:rsid w:val="00F31EBF"/>
    <w:rsid w:val="00F3648E"/>
    <w:rsid w:val="00F4205A"/>
    <w:rsid w:val="00F46866"/>
    <w:rsid w:val="00F534F1"/>
    <w:rsid w:val="00F54333"/>
    <w:rsid w:val="00F54E92"/>
    <w:rsid w:val="00F55EE8"/>
    <w:rsid w:val="00F57740"/>
    <w:rsid w:val="00F57FC1"/>
    <w:rsid w:val="00F62474"/>
    <w:rsid w:val="00F71FBF"/>
    <w:rsid w:val="00F72FDA"/>
    <w:rsid w:val="00F7565E"/>
    <w:rsid w:val="00F81C5D"/>
    <w:rsid w:val="00F82DA4"/>
    <w:rsid w:val="00F867F9"/>
    <w:rsid w:val="00F92C56"/>
    <w:rsid w:val="00F92FD1"/>
    <w:rsid w:val="00F936DF"/>
    <w:rsid w:val="00F97705"/>
    <w:rsid w:val="00FA1809"/>
    <w:rsid w:val="00FA4051"/>
    <w:rsid w:val="00FA521F"/>
    <w:rsid w:val="00FB00CB"/>
    <w:rsid w:val="00FB0685"/>
    <w:rsid w:val="00FB215D"/>
    <w:rsid w:val="00FB5445"/>
    <w:rsid w:val="00FB5568"/>
    <w:rsid w:val="00FB6ED8"/>
    <w:rsid w:val="00FB7CF5"/>
    <w:rsid w:val="00FC052C"/>
    <w:rsid w:val="00FC0F42"/>
    <w:rsid w:val="00FC5793"/>
    <w:rsid w:val="00FC587B"/>
    <w:rsid w:val="00FD35C9"/>
    <w:rsid w:val="00FD3FF5"/>
    <w:rsid w:val="00FD470F"/>
    <w:rsid w:val="00FE0D77"/>
    <w:rsid w:val="00FE21BF"/>
    <w:rsid w:val="00FE7419"/>
    <w:rsid w:val="00FF045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89D3DA32-8359-449F-BA34-449CC439A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60C2D"/>
    <w:pPr>
      <w:spacing w:after="280" w:line="280" w:lineRule="atLeast"/>
    </w:pPr>
    <w:rPr>
      <w:rFonts w:ascii="Times New Roman" w:hAnsi="Times New Roman"/>
      <w:sz w:val="22"/>
      <w:szCs w:val="22"/>
      <w:lang w:eastAsia="en-US"/>
    </w:rPr>
  </w:style>
  <w:style w:type="paragraph" w:styleId="berschrift1">
    <w:name w:val="heading 1"/>
    <w:basedOn w:val="Standard"/>
    <w:next w:val="StandardEinzug1"/>
    <w:link w:val="berschrift1Zchn"/>
    <w:uiPriority w:val="9"/>
    <w:qFormat/>
    <w:rsid w:val="00BC1A3A"/>
    <w:pPr>
      <w:keepNext/>
      <w:numPr>
        <w:numId w:val="5"/>
      </w:numPr>
      <w:outlineLvl w:val="0"/>
    </w:pPr>
    <w:rPr>
      <w:b/>
      <w:caps/>
    </w:rPr>
  </w:style>
  <w:style w:type="paragraph" w:styleId="berschrift2">
    <w:name w:val="heading 2"/>
    <w:basedOn w:val="Standard"/>
    <w:next w:val="StandardEinzug1"/>
    <w:link w:val="berschrift2Zchn"/>
    <w:uiPriority w:val="9"/>
    <w:qFormat/>
    <w:rsid w:val="00BC1A3A"/>
    <w:pPr>
      <w:keepNext/>
      <w:numPr>
        <w:ilvl w:val="1"/>
        <w:numId w:val="5"/>
      </w:numPr>
      <w:outlineLvl w:val="1"/>
    </w:pPr>
    <w:rPr>
      <w:b/>
      <w:smallCaps/>
    </w:rPr>
  </w:style>
  <w:style w:type="paragraph" w:styleId="berschrift3">
    <w:name w:val="heading 3"/>
    <w:basedOn w:val="Standard"/>
    <w:next w:val="StandardEinzug1"/>
    <w:link w:val="berschrift3Zchn"/>
    <w:uiPriority w:val="9"/>
    <w:qFormat/>
    <w:rsid w:val="00BC1A3A"/>
    <w:pPr>
      <w:keepNext/>
      <w:numPr>
        <w:ilvl w:val="2"/>
        <w:numId w:val="5"/>
      </w:numPr>
      <w:outlineLvl w:val="2"/>
    </w:pPr>
    <w:rPr>
      <w:b/>
    </w:rPr>
  </w:style>
  <w:style w:type="paragraph" w:styleId="berschrift4">
    <w:name w:val="heading 4"/>
    <w:basedOn w:val="Standard"/>
    <w:next w:val="StandardEinzug1"/>
    <w:link w:val="berschrift4Zchn"/>
    <w:uiPriority w:val="9"/>
    <w:qFormat/>
    <w:rsid w:val="00BC1A3A"/>
    <w:pPr>
      <w:keepNext/>
      <w:numPr>
        <w:ilvl w:val="3"/>
        <w:numId w:val="5"/>
      </w:numPr>
      <w:outlineLvl w:val="3"/>
    </w:pPr>
    <w:rPr>
      <w:b/>
    </w:rPr>
  </w:style>
  <w:style w:type="paragraph" w:styleId="berschrift5">
    <w:name w:val="heading 5"/>
    <w:basedOn w:val="Standard"/>
    <w:next w:val="StandardEinzug1"/>
    <w:link w:val="berschrift5Zchn"/>
    <w:uiPriority w:val="9"/>
    <w:qFormat/>
    <w:rsid w:val="00BC1A3A"/>
    <w:pPr>
      <w:keepNext/>
      <w:numPr>
        <w:ilvl w:val="4"/>
        <w:numId w:val="5"/>
      </w:numPr>
      <w:outlineLvl w:val="4"/>
    </w:pPr>
    <w:rPr>
      <w:b/>
    </w:rPr>
  </w:style>
  <w:style w:type="paragraph" w:styleId="berschrift6">
    <w:name w:val="heading 6"/>
    <w:basedOn w:val="Standard"/>
    <w:next w:val="StandardEinzug1"/>
    <w:link w:val="berschrift6Zchn"/>
    <w:uiPriority w:val="9"/>
    <w:qFormat/>
    <w:rsid w:val="002E077E"/>
    <w:pPr>
      <w:keepNext/>
      <w:numPr>
        <w:ilvl w:val="5"/>
        <w:numId w:val="5"/>
      </w:numPr>
      <w:outlineLvl w:val="5"/>
    </w:pPr>
    <w:rPr>
      <w:i/>
    </w:rPr>
  </w:style>
  <w:style w:type="paragraph" w:styleId="berschrift7">
    <w:name w:val="heading 7"/>
    <w:basedOn w:val="Standard"/>
    <w:next w:val="StandardEinzug1"/>
    <w:link w:val="berschrift7Zchn"/>
    <w:uiPriority w:val="9"/>
    <w:qFormat/>
    <w:rsid w:val="002E077E"/>
    <w:pPr>
      <w:keepNext/>
      <w:numPr>
        <w:ilvl w:val="6"/>
        <w:numId w:val="5"/>
      </w:numPr>
      <w:outlineLvl w:val="6"/>
    </w:pPr>
    <w:rPr>
      <w:i/>
    </w:rPr>
  </w:style>
  <w:style w:type="paragraph" w:styleId="berschrift8">
    <w:name w:val="heading 8"/>
    <w:basedOn w:val="Standard"/>
    <w:next w:val="StandardEinzug1"/>
    <w:link w:val="berschrift8Zchn"/>
    <w:uiPriority w:val="9"/>
    <w:qFormat/>
    <w:rsid w:val="002E077E"/>
    <w:pPr>
      <w:keepNext/>
      <w:numPr>
        <w:ilvl w:val="7"/>
        <w:numId w:val="5"/>
      </w:numPr>
      <w:outlineLvl w:val="7"/>
    </w:pPr>
    <w:rPr>
      <w:i/>
    </w:rPr>
  </w:style>
  <w:style w:type="paragraph" w:styleId="berschrift9">
    <w:name w:val="heading 9"/>
    <w:basedOn w:val="Standard"/>
    <w:next w:val="StandardEinzug1"/>
    <w:link w:val="berschrift9Zchn"/>
    <w:uiPriority w:val="9"/>
    <w:qFormat/>
    <w:rsid w:val="00BC1A3A"/>
    <w:pPr>
      <w:keepNext/>
      <w:numPr>
        <w:ilvl w:val="8"/>
        <w:numId w:val="5"/>
      </w:num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Einzug1">
    <w:name w:val="Standard Einzug 1"/>
    <w:basedOn w:val="Standard"/>
    <w:qFormat/>
    <w:rsid w:val="004B583A"/>
    <w:pPr>
      <w:ind w:left="709"/>
    </w:pPr>
  </w:style>
  <w:style w:type="paragraph" w:customStyle="1" w:styleId="StandardEinzug2">
    <w:name w:val="Standard Einzug 2"/>
    <w:basedOn w:val="Standard"/>
    <w:qFormat/>
    <w:rsid w:val="004B583A"/>
    <w:pPr>
      <w:ind w:left="1418"/>
    </w:pPr>
  </w:style>
  <w:style w:type="paragraph" w:customStyle="1" w:styleId="StandardEinzug3">
    <w:name w:val="Standard Einzug 3"/>
    <w:basedOn w:val="Standard"/>
    <w:qFormat/>
    <w:rsid w:val="004B583A"/>
    <w:pPr>
      <w:ind w:left="2126"/>
    </w:pPr>
  </w:style>
  <w:style w:type="paragraph" w:customStyle="1" w:styleId="StandardEinzug4">
    <w:name w:val="Standard Einzug 4"/>
    <w:basedOn w:val="Standard"/>
    <w:qFormat/>
    <w:rsid w:val="004B583A"/>
    <w:pPr>
      <w:ind w:left="2835"/>
    </w:pPr>
  </w:style>
  <w:style w:type="character" w:customStyle="1" w:styleId="berschrift1Zchn">
    <w:name w:val="Überschrift 1 Zchn"/>
    <w:basedOn w:val="Absatz-Standardschriftart"/>
    <w:link w:val="berschrift1"/>
    <w:uiPriority w:val="9"/>
    <w:rsid w:val="00BC1A3A"/>
    <w:rPr>
      <w:rFonts w:eastAsia="Calibri"/>
      <w:b/>
      <w:caps/>
      <w:sz w:val="22"/>
      <w:szCs w:val="22"/>
      <w:lang w:val="de-CH" w:eastAsia="en-US" w:bidi="ar-SA"/>
    </w:rPr>
  </w:style>
  <w:style w:type="character" w:customStyle="1" w:styleId="berschrift2Zchn">
    <w:name w:val="Überschrift 2 Zchn"/>
    <w:basedOn w:val="Absatz-Standardschriftart"/>
    <w:link w:val="berschrift2"/>
    <w:uiPriority w:val="9"/>
    <w:rsid w:val="00BC1A3A"/>
    <w:rPr>
      <w:rFonts w:eastAsia="Calibri"/>
      <w:b/>
      <w:smallCaps/>
      <w:sz w:val="22"/>
      <w:szCs w:val="22"/>
      <w:lang w:val="de-CH" w:eastAsia="en-US" w:bidi="ar-SA"/>
    </w:rPr>
  </w:style>
  <w:style w:type="character" w:customStyle="1" w:styleId="berschrift3Zchn">
    <w:name w:val="Überschrift 3 Zchn"/>
    <w:basedOn w:val="Absatz-Standardschriftart"/>
    <w:link w:val="berschrift3"/>
    <w:uiPriority w:val="9"/>
    <w:rsid w:val="00BC1A3A"/>
    <w:rPr>
      <w:rFonts w:eastAsia="Calibri"/>
      <w:b/>
      <w:sz w:val="22"/>
      <w:szCs w:val="22"/>
      <w:lang w:val="de-CH" w:eastAsia="en-US" w:bidi="ar-SA"/>
    </w:rPr>
  </w:style>
  <w:style w:type="paragraph" w:customStyle="1" w:styleId="Nummerierungi1">
    <w:name w:val="Nummerierung i 1"/>
    <w:basedOn w:val="Standard"/>
    <w:qFormat/>
    <w:rsid w:val="008F0C6E"/>
    <w:pPr>
      <w:numPr>
        <w:numId w:val="3"/>
      </w:numPr>
    </w:pPr>
  </w:style>
  <w:style w:type="paragraph" w:customStyle="1" w:styleId="Nummerierungi2">
    <w:name w:val="Nummerierung i 2"/>
    <w:basedOn w:val="Nummerierungi1"/>
    <w:qFormat/>
    <w:rsid w:val="00D03D59"/>
    <w:pPr>
      <w:numPr>
        <w:ilvl w:val="1"/>
      </w:numPr>
    </w:pPr>
  </w:style>
  <w:style w:type="paragraph" w:customStyle="1" w:styleId="Nummerierungi3">
    <w:name w:val="Nummerierung i 3"/>
    <w:basedOn w:val="Nummerierungi1"/>
    <w:qFormat/>
    <w:rsid w:val="00D03D59"/>
    <w:pPr>
      <w:numPr>
        <w:ilvl w:val="2"/>
      </w:numPr>
    </w:pPr>
  </w:style>
  <w:style w:type="character" w:customStyle="1" w:styleId="berschrift4Zchn">
    <w:name w:val="Überschrift 4 Zchn"/>
    <w:basedOn w:val="Absatz-Standardschriftart"/>
    <w:link w:val="berschrift4"/>
    <w:uiPriority w:val="9"/>
    <w:rsid w:val="00BC1A3A"/>
    <w:rPr>
      <w:rFonts w:eastAsia="Calibri"/>
      <w:b/>
      <w:sz w:val="22"/>
      <w:szCs w:val="22"/>
      <w:lang w:val="de-CH" w:eastAsia="en-US" w:bidi="ar-SA"/>
    </w:rPr>
  </w:style>
  <w:style w:type="character" w:customStyle="1" w:styleId="berschrift5Zchn">
    <w:name w:val="Überschrift 5 Zchn"/>
    <w:basedOn w:val="Absatz-Standardschriftart"/>
    <w:link w:val="berschrift5"/>
    <w:uiPriority w:val="9"/>
    <w:rsid w:val="00BC1A3A"/>
    <w:rPr>
      <w:rFonts w:eastAsia="Calibri"/>
      <w:b/>
      <w:sz w:val="22"/>
      <w:szCs w:val="22"/>
      <w:lang w:val="de-CH" w:eastAsia="en-US" w:bidi="ar-SA"/>
    </w:rPr>
  </w:style>
  <w:style w:type="character" w:customStyle="1" w:styleId="berschrift6Zchn">
    <w:name w:val="Überschrift 6 Zchn"/>
    <w:basedOn w:val="Absatz-Standardschriftart"/>
    <w:link w:val="berschrift6"/>
    <w:uiPriority w:val="9"/>
    <w:rsid w:val="002E077E"/>
    <w:rPr>
      <w:rFonts w:eastAsia="Calibri"/>
      <w:i/>
      <w:sz w:val="22"/>
      <w:szCs w:val="22"/>
      <w:lang w:val="de-CH" w:eastAsia="en-US" w:bidi="ar-SA"/>
    </w:rPr>
  </w:style>
  <w:style w:type="paragraph" w:customStyle="1" w:styleId="ListeBulletPoint2">
    <w:name w:val="Liste Bullet Point 2"/>
    <w:basedOn w:val="ListeBulletPoint1"/>
    <w:qFormat/>
    <w:rsid w:val="00F3648E"/>
    <w:pPr>
      <w:tabs>
        <w:tab w:val="clear" w:pos="709"/>
        <w:tab w:val="left" w:pos="1418"/>
      </w:tabs>
      <w:ind w:left="1418"/>
    </w:pPr>
  </w:style>
  <w:style w:type="paragraph" w:customStyle="1" w:styleId="ListeBulletPoint3">
    <w:name w:val="Liste Bullet Point 3"/>
    <w:basedOn w:val="ListeBulletPoint1"/>
    <w:qFormat/>
    <w:rsid w:val="00F3648E"/>
    <w:pPr>
      <w:tabs>
        <w:tab w:val="clear" w:pos="709"/>
        <w:tab w:val="left" w:pos="2126"/>
      </w:tabs>
      <w:ind w:left="2127"/>
    </w:pPr>
  </w:style>
  <w:style w:type="paragraph" w:customStyle="1" w:styleId="ListeFazit2">
    <w:name w:val="Liste Fazit 2"/>
    <w:basedOn w:val="ListeFazit1"/>
    <w:qFormat/>
    <w:rsid w:val="00F3648E"/>
    <w:pPr>
      <w:tabs>
        <w:tab w:val="clear" w:pos="709"/>
        <w:tab w:val="left" w:pos="1418"/>
      </w:tabs>
      <w:ind w:left="1418"/>
    </w:pPr>
  </w:style>
  <w:style w:type="paragraph" w:customStyle="1" w:styleId="ListeFazit3">
    <w:name w:val="Liste Fazit 3"/>
    <w:basedOn w:val="ListeFazit1"/>
    <w:qFormat/>
    <w:rsid w:val="00F3648E"/>
    <w:pPr>
      <w:tabs>
        <w:tab w:val="clear" w:pos="709"/>
        <w:tab w:val="left" w:pos="2126"/>
      </w:tabs>
      <w:ind w:left="2127"/>
    </w:pPr>
  </w:style>
  <w:style w:type="paragraph" w:customStyle="1" w:styleId="ListeBulletPoint1">
    <w:name w:val="Liste Bullet Point 1"/>
    <w:basedOn w:val="Standard"/>
    <w:qFormat/>
    <w:rsid w:val="00F3648E"/>
    <w:pPr>
      <w:numPr>
        <w:numId w:val="9"/>
      </w:numPr>
    </w:pPr>
  </w:style>
  <w:style w:type="paragraph" w:customStyle="1" w:styleId="ListeFazit1">
    <w:name w:val="Liste Fazit 1"/>
    <w:basedOn w:val="Standard"/>
    <w:qFormat/>
    <w:rsid w:val="00F3648E"/>
    <w:pPr>
      <w:numPr>
        <w:numId w:val="10"/>
      </w:numPr>
    </w:pPr>
  </w:style>
  <w:style w:type="paragraph" w:customStyle="1" w:styleId="ListeLemma2">
    <w:name w:val="Liste Lemma 2"/>
    <w:basedOn w:val="ListeLemma1"/>
    <w:qFormat/>
    <w:rsid w:val="00F3648E"/>
    <w:pPr>
      <w:tabs>
        <w:tab w:val="clear" w:pos="709"/>
        <w:tab w:val="left" w:pos="1418"/>
      </w:tabs>
      <w:ind w:left="1418"/>
    </w:pPr>
  </w:style>
  <w:style w:type="paragraph" w:customStyle="1" w:styleId="ListeLemma3">
    <w:name w:val="Liste Lemma 3"/>
    <w:basedOn w:val="ListeLemma1"/>
    <w:qFormat/>
    <w:rsid w:val="004B583A"/>
    <w:pPr>
      <w:tabs>
        <w:tab w:val="clear" w:pos="709"/>
        <w:tab w:val="left" w:pos="2126"/>
      </w:tabs>
      <w:ind w:left="2127"/>
    </w:pPr>
  </w:style>
  <w:style w:type="paragraph" w:customStyle="1" w:styleId="Nummerierung1231">
    <w:name w:val="Nummerierung 123 1"/>
    <w:basedOn w:val="Standard"/>
    <w:qFormat/>
    <w:rsid w:val="004B583A"/>
    <w:pPr>
      <w:numPr>
        <w:numId w:val="1"/>
      </w:numPr>
    </w:pPr>
  </w:style>
  <w:style w:type="paragraph" w:customStyle="1" w:styleId="ListeLemma1">
    <w:name w:val="Liste Lemma 1"/>
    <w:basedOn w:val="Standard"/>
    <w:qFormat/>
    <w:rsid w:val="00F3648E"/>
    <w:pPr>
      <w:numPr>
        <w:numId w:val="11"/>
      </w:numPr>
    </w:pPr>
  </w:style>
  <w:style w:type="paragraph" w:customStyle="1" w:styleId="Nummerierung1232">
    <w:name w:val="Nummerierung 123 2"/>
    <w:basedOn w:val="Nummerierung1231"/>
    <w:qFormat/>
    <w:rsid w:val="00D03D59"/>
    <w:pPr>
      <w:numPr>
        <w:ilvl w:val="1"/>
      </w:numPr>
    </w:pPr>
  </w:style>
  <w:style w:type="paragraph" w:customStyle="1" w:styleId="Nummerierung1233">
    <w:name w:val="Nummerierung 123 3"/>
    <w:basedOn w:val="Nummerierung1231"/>
    <w:qFormat/>
    <w:rsid w:val="00D03D59"/>
    <w:pPr>
      <w:numPr>
        <w:ilvl w:val="2"/>
      </w:numPr>
    </w:pPr>
  </w:style>
  <w:style w:type="paragraph" w:customStyle="1" w:styleId="Nummerierungabc1">
    <w:name w:val="Nummerierung abc 1"/>
    <w:basedOn w:val="Standard"/>
    <w:qFormat/>
    <w:rsid w:val="007F0A53"/>
    <w:pPr>
      <w:numPr>
        <w:numId w:val="2"/>
      </w:numPr>
    </w:pPr>
  </w:style>
  <w:style w:type="paragraph" w:customStyle="1" w:styleId="Nummerierungabc2">
    <w:name w:val="Nummerierung abc 2"/>
    <w:basedOn w:val="Nummerierungabc1"/>
    <w:qFormat/>
    <w:rsid w:val="00D03D59"/>
    <w:pPr>
      <w:numPr>
        <w:ilvl w:val="1"/>
      </w:numPr>
    </w:pPr>
  </w:style>
  <w:style w:type="paragraph" w:customStyle="1" w:styleId="Nummerierungabc3">
    <w:name w:val="Nummerierung abc 3"/>
    <w:basedOn w:val="Nummerierungabc1"/>
    <w:qFormat/>
    <w:rsid w:val="00D03D59"/>
    <w:pPr>
      <w:numPr>
        <w:ilvl w:val="2"/>
      </w:numPr>
    </w:pPr>
  </w:style>
  <w:style w:type="character" w:customStyle="1" w:styleId="berschrift7Zchn">
    <w:name w:val="Überschrift 7 Zchn"/>
    <w:basedOn w:val="Absatz-Standardschriftart"/>
    <w:link w:val="berschrift7"/>
    <w:uiPriority w:val="9"/>
    <w:rsid w:val="002E077E"/>
    <w:rPr>
      <w:rFonts w:eastAsia="Calibri"/>
      <w:i/>
      <w:sz w:val="22"/>
      <w:szCs w:val="22"/>
      <w:lang w:val="de-CH" w:eastAsia="en-US" w:bidi="ar-SA"/>
    </w:rPr>
  </w:style>
  <w:style w:type="character" w:customStyle="1" w:styleId="berschrift8Zchn">
    <w:name w:val="Überschrift 8 Zchn"/>
    <w:basedOn w:val="Absatz-Standardschriftart"/>
    <w:link w:val="berschrift8"/>
    <w:uiPriority w:val="9"/>
    <w:rsid w:val="002E077E"/>
    <w:rPr>
      <w:rFonts w:eastAsia="Calibri"/>
      <w:i/>
      <w:sz w:val="22"/>
      <w:szCs w:val="22"/>
      <w:lang w:val="de-CH" w:eastAsia="en-US" w:bidi="ar-SA"/>
    </w:rPr>
  </w:style>
  <w:style w:type="character" w:customStyle="1" w:styleId="berschrift9Zchn">
    <w:name w:val="Überschrift 9 Zchn"/>
    <w:basedOn w:val="Absatz-Standardschriftart"/>
    <w:link w:val="berschrift9"/>
    <w:uiPriority w:val="9"/>
    <w:rsid w:val="00BC1A3A"/>
    <w:rPr>
      <w:rFonts w:eastAsia="Calibri"/>
      <w:sz w:val="22"/>
      <w:szCs w:val="22"/>
      <w:lang w:val="de-CH" w:eastAsia="en-US" w:bidi="ar-SA"/>
    </w:rPr>
  </w:style>
  <w:style w:type="paragraph" w:styleId="Kopfzeile">
    <w:name w:val="header"/>
    <w:basedOn w:val="Standard"/>
    <w:link w:val="KopfzeileZchn"/>
    <w:uiPriority w:val="99"/>
    <w:unhideWhenUsed/>
    <w:rsid w:val="00932380"/>
    <w:pPr>
      <w:tabs>
        <w:tab w:val="center" w:pos="4536"/>
        <w:tab w:val="right" w:pos="9072"/>
      </w:tabs>
    </w:pPr>
  </w:style>
  <w:style w:type="character" w:customStyle="1" w:styleId="KopfzeileZchn">
    <w:name w:val="Kopfzeile Zchn"/>
    <w:basedOn w:val="Absatz-Standardschriftart"/>
    <w:link w:val="Kopfzeile"/>
    <w:uiPriority w:val="99"/>
    <w:rsid w:val="00932380"/>
    <w:rPr>
      <w:rFonts w:ascii="Times New Roman" w:hAnsi="Times New Roman"/>
      <w:sz w:val="22"/>
      <w:szCs w:val="22"/>
      <w:lang w:eastAsia="en-US"/>
    </w:rPr>
  </w:style>
  <w:style w:type="paragraph" w:styleId="Fuzeile">
    <w:name w:val="footer"/>
    <w:basedOn w:val="Standard"/>
    <w:link w:val="FuzeileZchn"/>
    <w:uiPriority w:val="99"/>
    <w:unhideWhenUsed/>
    <w:rsid w:val="00932380"/>
    <w:pPr>
      <w:tabs>
        <w:tab w:val="center" w:pos="4536"/>
        <w:tab w:val="right" w:pos="9072"/>
      </w:tabs>
    </w:pPr>
  </w:style>
  <w:style w:type="character" w:customStyle="1" w:styleId="FuzeileZchn">
    <w:name w:val="Fußzeile Zchn"/>
    <w:basedOn w:val="Absatz-Standardschriftart"/>
    <w:link w:val="Fuzeile"/>
    <w:uiPriority w:val="99"/>
    <w:rsid w:val="00932380"/>
    <w:rPr>
      <w:rFonts w:ascii="Times New Roman" w:hAnsi="Times New Roman"/>
      <w:sz w:val="22"/>
      <w:szCs w:val="22"/>
      <w:lang w:eastAsia="en-US"/>
    </w:rPr>
  </w:style>
  <w:style w:type="table" w:styleId="Tabellenraster">
    <w:name w:val="Table Grid"/>
    <w:basedOn w:val="NormaleTabelle"/>
    <w:uiPriority w:val="59"/>
    <w:semiHidden/>
    <w:rsid w:val="00E87C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1">
    <w:name w:val="toc 1"/>
    <w:basedOn w:val="Standard"/>
    <w:next w:val="Standard"/>
    <w:autoRedefine/>
    <w:uiPriority w:val="39"/>
    <w:semiHidden/>
    <w:rsid w:val="009A6D66"/>
    <w:pPr>
      <w:tabs>
        <w:tab w:val="left" w:pos="567"/>
        <w:tab w:val="right" w:leader="dot" w:pos="9072"/>
      </w:tabs>
      <w:spacing w:before="160" w:after="80" w:line="240" w:lineRule="auto"/>
    </w:pPr>
    <w:rPr>
      <w:smallCaps/>
      <w:sz w:val="20"/>
      <w:szCs w:val="20"/>
    </w:rPr>
  </w:style>
  <w:style w:type="paragraph" w:styleId="Verzeichnis2">
    <w:name w:val="toc 2"/>
    <w:basedOn w:val="Standard"/>
    <w:next w:val="Standard"/>
    <w:autoRedefine/>
    <w:uiPriority w:val="39"/>
    <w:semiHidden/>
    <w:rsid w:val="009A6D66"/>
    <w:pPr>
      <w:tabs>
        <w:tab w:val="left" w:pos="1134"/>
        <w:tab w:val="right" w:leader="dot" w:pos="9072"/>
      </w:tabs>
      <w:spacing w:before="80" w:after="0" w:line="240" w:lineRule="auto"/>
      <w:ind w:left="567"/>
    </w:pPr>
    <w:rPr>
      <w:sz w:val="20"/>
      <w:szCs w:val="20"/>
    </w:rPr>
  </w:style>
  <w:style w:type="paragraph" w:styleId="Verzeichnis3">
    <w:name w:val="toc 3"/>
    <w:basedOn w:val="Standard"/>
    <w:next w:val="Standard"/>
    <w:autoRedefine/>
    <w:uiPriority w:val="39"/>
    <w:semiHidden/>
    <w:rsid w:val="009A6D66"/>
    <w:pPr>
      <w:tabs>
        <w:tab w:val="left" w:pos="1701"/>
        <w:tab w:val="right" w:leader="dot" w:pos="9072"/>
      </w:tabs>
      <w:spacing w:before="40" w:after="0" w:line="240" w:lineRule="auto"/>
      <w:ind w:left="1134"/>
    </w:pPr>
    <w:rPr>
      <w:sz w:val="20"/>
    </w:rPr>
  </w:style>
  <w:style w:type="paragraph" w:customStyle="1" w:styleId="Randziffer">
    <w:name w:val="Randziffer"/>
    <w:basedOn w:val="Standard"/>
    <w:qFormat/>
    <w:rsid w:val="00D03D59"/>
    <w:pPr>
      <w:numPr>
        <w:numId w:val="4"/>
      </w:numPr>
    </w:pPr>
  </w:style>
  <w:style w:type="paragraph" w:styleId="Verzeichnis4">
    <w:name w:val="toc 4"/>
    <w:basedOn w:val="Standard"/>
    <w:next w:val="Standard"/>
    <w:autoRedefine/>
    <w:uiPriority w:val="39"/>
    <w:semiHidden/>
    <w:rsid w:val="009A6D66"/>
    <w:pPr>
      <w:tabs>
        <w:tab w:val="left" w:pos="2268"/>
        <w:tab w:val="right" w:leader="dot" w:pos="9072"/>
      </w:tabs>
      <w:spacing w:after="0" w:line="240" w:lineRule="auto"/>
      <w:ind w:left="1701"/>
    </w:pPr>
    <w:rPr>
      <w:sz w:val="20"/>
    </w:rPr>
  </w:style>
  <w:style w:type="paragraph" w:styleId="Verzeichnis5">
    <w:name w:val="toc 5"/>
    <w:basedOn w:val="Standard"/>
    <w:next w:val="Standard"/>
    <w:autoRedefine/>
    <w:uiPriority w:val="39"/>
    <w:semiHidden/>
    <w:rsid w:val="009A6D66"/>
    <w:pPr>
      <w:tabs>
        <w:tab w:val="left" w:pos="2977"/>
        <w:tab w:val="right" w:leader="dot" w:pos="9072"/>
      </w:tabs>
      <w:spacing w:after="0" w:line="240" w:lineRule="auto"/>
      <w:ind w:left="2268"/>
    </w:pPr>
    <w:rPr>
      <w:noProof/>
      <w:sz w:val="20"/>
    </w:rPr>
  </w:style>
  <w:style w:type="paragraph" w:styleId="Verzeichnis6">
    <w:name w:val="toc 6"/>
    <w:basedOn w:val="Standard"/>
    <w:next w:val="Standard"/>
    <w:autoRedefine/>
    <w:uiPriority w:val="39"/>
    <w:semiHidden/>
    <w:rsid w:val="009A6D66"/>
    <w:pPr>
      <w:tabs>
        <w:tab w:val="left" w:pos="3544"/>
        <w:tab w:val="right" w:leader="dot" w:pos="9072"/>
      </w:tabs>
      <w:spacing w:after="0" w:line="240" w:lineRule="auto"/>
      <w:ind w:left="2977"/>
    </w:pPr>
    <w:rPr>
      <w:noProof/>
      <w:sz w:val="20"/>
    </w:rPr>
  </w:style>
  <w:style w:type="paragraph" w:styleId="Verzeichnis7">
    <w:name w:val="toc 7"/>
    <w:basedOn w:val="Standard"/>
    <w:next w:val="Standard"/>
    <w:autoRedefine/>
    <w:uiPriority w:val="39"/>
    <w:semiHidden/>
    <w:rsid w:val="009A6D66"/>
    <w:pPr>
      <w:tabs>
        <w:tab w:val="left" w:pos="4111"/>
        <w:tab w:val="right" w:leader="dot" w:pos="9072"/>
      </w:tabs>
      <w:spacing w:after="0" w:line="240" w:lineRule="auto"/>
      <w:ind w:left="3544"/>
    </w:pPr>
    <w:rPr>
      <w:noProof/>
      <w:sz w:val="20"/>
    </w:rPr>
  </w:style>
  <w:style w:type="paragraph" w:styleId="Verzeichnis8">
    <w:name w:val="toc 8"/>
    <w:basedOn w:val="Standard"/>
    <w:next w:val="Standard"/>
    <w:autoRedefine/>
    <w:uiPriority w:val="39"/>
    <w:semiHidden/>
    <w:rsid w:val="009A6D66"/>
    <w:pPr>
      <w:tabs>
        <w:tab w:val="left" w:pos="4678"/>
        <w:tab w:val="right" w:leader="dot" w:pos="9072"/>
      </w:tabs>
      <w:spacing w:after="0" w:line="240" w:lineRule="auto"/>
      <w:ind w:left="4111"/>
    </w:pPr>
    <w:rPr>
      <w:noProof/>
      <w:sz w:val="20"/>
    </w:rPr>
  </w:style>
  <w:style w:type="paragraph" w:styleId="Verzeichnis9">
    <w:name w:val="toc 9"/>
    <w:basedOn w:val="Standard"/>
    <w:next w:val="Standard"/>
    <w:autoRedefine/>
    <w:uiPriority w:val="39"/>
    <w:semiHidden/>
    <w:rsid w:val="009A6D66"/>
    <w:pPr>
      <w:tabs>
        <w:tab w:val="left" w:pos="5245"/>
        <w:tab w:val="right" w:leader="dot" w:pos="9072"/>
      </w:tabs>
      <w:spacing w:after="0" w:line="240" w:lineRule="auto"/>
      <w:ind w:left="4678"/>
    </w:pPr>
    <w:rPr>
      <w:noProof/>
      <w:sz w:val="20"/>
    </w:rPr>
  </w:style>
  <w:style w:type="paragraph" w:customStyle="1" w:styleId="BOBeilage">
    <w:name w:val="BO/Beilage"/>
    <w:basedOn w:val="Standard"/>
    <w:qFormat/>
    <w:rsid w:val="00193E2D"/>
    <w:pPr>
      <w:tabs>
        <w:tab w:val="right" w:pos="9072"/>
      </w:tabs>
      <w:ind w:left="1701" w:hanging="1701"/>
    </w:pPr>
  </w:style>
  <w:style w:type="paragraph" w:customStyle="1" w:styleId="BOBeilageEinzug1">
    <w:name w:val="BO/Beilage Einzug 1"/>
    <w:basedOn w:val="BOBeilage"/>
    <w:qFormat/>
    <w:rsid w:val="00F3648E"/>
    <w:pPr>
      <w:ind w:left="2694" w:hanging="1985"/>
    </w:pPr>
  </w:style>
  <w:style w:type="numbering" w:customStyle="1" w:styleId="AktuelleListe1">
    <w:name w:val="Aktuelle Liste1"/>
    <w:semiHidden/>
    <w:rsid w:val="00982DBA"/>
    <w:pPr>
      <w:numPr>
        <w:numId w:val="6"/>
      </w:numPr>
    </w:pPr>
  </w:style>
  <w:style w:type="paragraph" w:customStyle="1" w:styleId="NiedererKraftFrey">
    <w:name w:val="Niederer Kraft &amp; Frey"/>
    <w:basedOn w:val="Standard"/>
    <w:rsid w:val="00541D36"/>
    <w:rPr>
      <w:rFonts w:ascii="Arial" w:hAnsi="Arial" w:cs="Arial"/>
      <w:sz w:val="20"/>
      <w:szCs w:val="20"/>
    </w:rPr>
  </w:style>
  <w:style w:type="paragraph" w:customStyle="1" w:styleId="ZAnhang1">
    <w:name w:val="ZAnhang1"/>
    <w:basedOn w:val="Standard"/>
    <w:rsid w:val="00817823"/>
    <w:pPr>
      <w:numPr>
        <w:numId w:val="7"/>
      </w:numPr>
    </w:pPr>
    <w:rPr>
      <w:b/>
      <w:caps/>
    </w:rPr>
  </w:style>
  <w:style w:type="paragraph" w:customStyle="1" w:styleId="ZAnhang2">
    <w:name w:val="ZAnhang2"/>
    <w:basedOn w:val="Standard"/>
    <w:rsid w:val="00FD470F"/>
    <w:pPr>
      <w:numPr>
        <w:ilvl w:val="1"/>
        <w:numId w:val="7"/>
      </w:numPr>
    </w:pPr>
    <w:rPr>
      <w:b/>
      <w:caps/>
    </w:rPr>
  </w:style>
  <w:style w:type="paragraph" w:customStyle="1" w:styleId="ZAnhang3">
    <w:name w:val="ZAnhang3"/>
    <w:basedOn w:val="Standard"/>
    <w:rsid w:val="00FD470F"/>
    <w:pPr>
      <w:numPr>
        <w:ilvl w:val="2"/>
        <w:numId w:val="7"/>
      </w:numPr>
    </w:pPr>
    <w:rPr>
      <w:b/>
      <w:smallCaps/>
    </w:rPr>
  </w:style>
  <w:style w:type="paragraph" w:customStyle="1" w:styleId="ZAnhang4">
    <w:name w:val="ZAnhang4"/>
    <w:basedOn w:val="Standard"/>
    <w:rsid w:val="00FD470F"/>
    <w:pPr>
      <w:numPr>
        <w:ilvl w:val="3"/>
        <w:numId w:val="7"/>
      </w:numPr>
    </w:pPr>
    <w:rPr>
      <w:b/>
    </w:rPr>
  </w:style>
  <w:style w:type="paragraph" w:customStyle="1" w:styleId="ZAnhang5">
    <w:name w:val="ZAnhang5"/>
    <w:basedOn w:val="Standard"/>
    <w:rsid w:val="00FD470F"/>
    <w:pPr>
      <w:numPr>
        <w:ilvl w:val="4"/>
        <w:numId w:val="7"/>
      </w:numPr>
    </w:pPr>
    <w:rPr>
      <w:b/>
    </w:rPr>
  </w:style>
  <w:style w:type="paragraph" w:customStyle="1" w:styleId="ZAnhang6">
    <w:name w:val="ZAnhang6"/>
    <w:basedOn w:val="Standard"/>
    <w:rsid w:val="00FD470F"/>
    <w:pPr>
      <w:numPr>
        <w:ilvl w:val="5"/>
        <w:numId w:val="7"/>
      </w:numPr>
    </w:pPr>
    <w:rPr>
      <w:b/>
    </w:rPr>
  </w:style>
  <w:style w:type="paragraph" w:customStyle="1" w:styleId="ZAnhang7">
    <w:name w:val="ZAnhang7"/>
    <w:basedOn w:val="Standard"/>
    <w:rsid w:val="00FD470F"/>
    <w:pPr>
      <w:numPr>
        <w:ilvl w:val="6"/>
        <w:numId w:val="7"/>
      </w:numPr>
    </w:pPr>
    <w:rPr>
      <w:i/>
    </w:rPr>
  </w:style>
  <w:style w:type="paragraph" w:customStyle="1" w:styleId="ZAnhang8">
    <w:name w:val="ZAnhang8"/>
    <w:basedOn w:val="Standard"/>
    <w:rsid w:val="00FD470F"/>
    <w:pPr>
      <w:numPr>
        <w:ilvl w:val="7"/>
        <w:numId w:val="7"/>
      </w:numPr>
    </w:pPr>
    <w:rPr>
      <w:i/>
    </w:rPr>
  </w:style>
  <w:style w:type="paragraph" w:customStyle="1" w:styleId="ZAnhang9">
    <w:name w:val="ZAnhang9"/>
    <w:basedOn w:val="Standard"/>
    <w:rsid w:val="00FD470F"/>
    <w:pPr>
      <w:numPr>
        <w:ilvl w:val="8"/>
        <w:numId w:val="7"/>
      </w:numPr>
    </w:pPr>
    <w:rPr>
      <w:i/>
    </w:rPr>
  </w:style>
  <w:style w:type="numbering" w:customStyle="1" w:styleId="AktuelleListe2">
    <w:name w:val="Aktuelle Liste2"/>
    <w:semiHidden/>
    <w:rsid w:val="00AF30F2"/>
    <w:pPr>
      <w:numPr>
        <w:numId w:val="8"/>
      </w:numPr>
    </w:pPr>
  </w:style>
  <w:style w:type="paragraph" w:styleId="Funotentext">
    <w:name w:val="footnote text"/>
    <w:basedOn w:val="Standard"/>
    <w:link w:val="FunotentextZchn"/>
    <w:semiHidden/>
    <w:rsid w:val="001E6F18"/>
    <w:pPr>
      <w:tabs>
        <w:tab w:val="left" w:pos="709"/>
      </w:tabs>
      <w:spacing w:after="240" w:line="240" w:lineRule="auto"/>
      <w:ind w:left="709" w:hanging="709"/>
    </w:pPr>
    <w:rPr>
      <w:sz w:val="20"/>
      <w:szCs w:val="20"/>
    </w:rPr>
  </w:style>
  <w:style w:type="character" w:styleId="Funotenzeichen">
    <w:name w:val="footnote reference"/>
    <w:basedOn w:val="Absatz-Standardschriftart"/>
    <w:semiHidden/>
    <w:rsid w:val="001E6F18"/>
    <w:rPr>
      <w:vertAlign w:val="superscript"/>
    </w:rPr>
  </w:style>
  <w:style w:type="paragraph" w:customStyle="1" w:styleId="StandardZitat">
    <w:name w:val="Standard Zitat"/>
    <w:basedOn w:val="Standard"/>
    <w:rsid w:val="00F57FC1"/>
    <w:pPr>
      <w:spacing w:line="240" w:lineRule="auto"/>
      <w:ind w:left="1134"/>
    </w:pPr>
  </w:style>
  <w:style w:type="paragraph" w:styleId="Listenabsatz">
    <w:name w:val="List Paragraph"/>
    <w:basedOn w:val="Standard"/>
    <w:uiPriority w:val="34"/>
    <w:qFormat/>
    <w:rsid w:val="00860C2D"/>
    <w:pPr>
      <w:spacing w:after="0" w:line="240" w:lineRule="auto"/>
      <w:ind w:left="720"/>
      <w:contextualSpacing/>
    </w:pPr>
  </w:style>
  <w:style w:type="paragraph" w:styleId="Sprechblasentext">
    <w:name w:val="Balloon Text"/>
    <w:basedOn w:val="Standard"/>
    <w:link w:val="SprechblasentextZchn"/>
    <w:uiPriority w:val="99"/>
    <w:semiHidden/>
    <w:unhideWhenUsed/>
    <w:rsid w:val="007A5DD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A5DD3"/>
    <w:rPr>
      <w:rFonts w:ascii="Tahoma" w:hAnsi="Tahoma" w:cs="Tahoma"/>
      <w:sz w:val="16"/>
      <w:szCs w:val="16"/>
      <w:lang w:eastAsia="en-US"/>
    </w:rPr>
  </w:style>
  <w:style w:type="character" w:customStyle="1" w:styleId="FunotentextZchn">
    <w:name w:val="Fußnotentext Zchn"/>
    <w:basedOn w:val="Absatz-Standardschriftart"/>
    <w:link w:val="Funotentext"/>
    <w:semiHidden/>
    <w:rsid w:val="003D1FD0"/>
    <w:rPr>
      <w:rFonts w:ascii="Times New Roman" w:hAnsi="Times New Roman"/>
      <w:lang w:eastAsia="en-US"/>
    </w:rPr>
  </w:style>
  <w:style w:type="paragraph" w:styleId="StandardWeb">
    <w:name w:val="Normal (Web)"/>
    <w:basedOn w:val="Standard"/>
    <w:uiPriority w:val="99"/>
    <w:semiHidden/>
    <w:unhideWhenUsed/>
    <w:rsid w:val="006A64E5"/>
    <w:pPr>
      <w:spacing w:after="165" w:line="240" w:lineRule="auto"/>
    </w:pPr>
    <w:rPr>
      <w:rFonts w:eastAsia="Times New Roman"/>
      <w:sz w:val="26"/>
      <w:szCs w:val="26"/>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137987">
      <w:bodyDiv w:val="1"/>
      <w:marLeft w:val="0"/>
      <w:marRight w:val="0"/>
      <w:marTop w:val="0"/>
      <w:marBottom w:val="0"/>
      <w:divBdr>
        <w:top w:val="none" w:sz="0" w:space="0" w:color="auto"/>
        <w:left w:val="none" w:sz="0" w:space="0" w:color="auto"/>
        <w:bottom w:val="none" w:sz="0" w:space="0" w:color="auto"/>
        <w:right w:val="none" w:sz="0" w:space="0" w:color="auto"/>
      </w:divBdr>
      <w:divsChild>
        <w:div w:id="2117166337">
          <w:marLeft w:val="0"/>
          <w:marRight w:val="0"/>
          <w:marTop w:val="0"/>
          <w:marBottom w:val="0"/>
          <w:divBdr>
            <w:top w:val="none" w:sz="0" w:space="0" w:color="auto"/>
            <w:left w:val="none" w:sz="0" w:space="0" w:color="auto"/>
            <w:bottom w:val="none" w:sz="0" w:space="0" w:color="auto"/>
            <w:right w:val="none" w:sz="0" w:space="0" w:color="auto"/>
          </w:divBdr>
          <w:divsChild>
            <w:div w:id="1209605902">
              <w:marLeft w:val="0"/>
              <w:marRight w:val="0"/>
              <w:marTop w:val="0"/>
              <w:marBottom w:val="0"/>
              <w:divBdr>
                <w:top w:val="none" w:sz="0" w:space="0" w:color="auto"/>
                <w:left w:val="none" w:sz="0" w:space="0" w:color="auto"/>
                <w:bottom w:val="none" w:sz="0" w:space="0" w:color="auto"/>
                <w:right w:val="none" w:sz="0" w:space="0" w:color="auto"/>
              </w:divBdr>
              <w:divsChild>
                <w:div w:id="1247107030">
                  <w:marLeft w:val="-225"/>
                  <w:marRight w:val="-225"/>
                  <w:marTop w:val="0"/>
                  <w:marBottom w:val="0"/>
                  <w:divBdr>
                    <w:top w:val="none" w:sz="0" w:space="0" w:color="auto"/>
                    <w:left w:val="none" w:sz="0" w:space="0" w:color="auto"/>
                    <w:bottom w:val="none" w:sz="0" w:space="0" w:color="auto"/>
                    <w:right w:val="none" w:sz="0" w:space="0" w:color="auto"/>
                  </w:divBdr>
                  <w:divsChild>
                    <w:div w:id="1874149346">
                      <w:marLeft w:val="0"/>
                      <w:marRight w:val="0"/>
                      <w:marTop w:val="0"/>
                      <w:marBottom w:val="0"/>
                      <w:divBdr>
                        <w:top w:val="none" w:sz="0" w:space="0" w:color="auto"/>
                        <w:left w:val="none" w:sz="0" w:space="0" w:color="auto"/>
                        <w:bottom w:val="none" w:sz="0" w:space="0" w:color="auto"/>
                        <w:right w:val="none" w:sz="0" w:space="0" w:color="auto"/>
                      </w:divBdr>
                      <w:divsChild>
                        <w:div w:id="1933319690">
                          <w:marLeft w:val="-225"/>
                          <w:marRight w:val="-225"/>
                          <w:marTop w:val="0"/>
                          <w:marBottom w:val="0"/>
                          <w:divBdr>
                            <w:top w:val="none" w:sz="0" w:space="0" w:color="auto"/>
                            <w:left w:val="none" w:sz="0" w:space="0" w:color="auto"/>
                            <w:bottom w:val="none" w:sz="0" w:space="0" w:color="auto"/>
                            <w:right w:val="none" w:sz="0" w:space="0" w:color="auto"/>
                          </w:divBdr>
                          <w:divsChild>
                            <w:div w:id="1439251193">
                              <w:marLeft w:val="0"/>
                              <w:marRight w:val="0"/>
                              <w:marTop w:val="0"/>
                              <w:marBottom w:val="0"/>
                              <w:divBdr>
                                <w:top w:val="none" w:sz="0" w:space="0" w:color="auto"/>
                                <w:left w:val="none" w:sz="0" w:space="0" w:color="auto"/>
                                <w:bottom w:val="none" w:sz="0" w:space="0" w:color="auto"/>
                                <w:right w:val="none" w:sz="0" w:space="0" w:color="auto"/>
                              </w:divBdr>
                              <w:divsChild>
                                <w:div w:id="695547680">
                                  <w:marLeft w:val="0"/>
                                  <w:marRight w:val="0"/>
                                  <w:marTop w:val="0"/>
                                  <w:marBottom w:val="0"/>
                                  <w:divBdr>
                                    <w:top w:val="none" w:sz="0" w:space="0" w:color="auto"/>
                                    <w:left w:val="none" w:sz="0" w:space="0" w:color="auto"/>
                                    <w:bottom w:val="none" w:sz="0" w:space="0" w:color="auto"/>
                                    <w:right w:val="none" w:sz="0" w:space="0" w:color="auto"/>
                                  </w:divBdr>
                                  <w:divsChild>
                                    <w:div w:id="173762645">
                                      <w:marLeft w:val="0"/>
                                      <w:marRight w:val="0"/>
                                      <w:marTop w:val="0"/>
                                      <w:marBottom w:val="0"/>
                                      <w:divBdr>
                                        <w:top w:val="none" w:sz="0" w:space="0" w:color="auto"/>
                                        <w:left w:val="none" w:sz="0" w:space="0" w:color="auto"/>
                                        <w:bottom w:val="none" w:sz="0" w:space="0" w:color="auto"/>
                                        <w:right w:val="none" w:sz="0" w:space="0" w:color="auto"/>
                                      </w:divBdr>
                                      <w:divsChild>
                                        <w:div w:id="1869179611">
                                          <w:marLeft w:val="0"/>
                                          <w:marRight w:val="0"/>
                                          <w:marTop w:val="0"/>
                                          <w:marBottom w:val="0"/>
                                          <w:divBdr>
                                            <w:top w:val="none" w:sz="0" w:space="0" w:color="auto"/>
                                            <w:left w:val="none" w:sz="0" w:space="0" w:color="auto"/>
                                            <w:bottom w:val="none" w:sz="0" w:space="0" w:color="auto"/>
                                            <w:right w:val="none" w:sz="0" w:space="0" w:color="auto"/>
                                          </w:divBdr>
                                          <w:divsChild>
                                            <w:div w:id="321812441">
                                              <w:marLeft w:val="0"/>
                                              <w:marRight w:val="0"/>
                                              <w:marTop w:val="0"/>
                                              <w:marBottom w:val="0"/>
                                              <w:divBdr>
                                                <w:top w:val="none" w:sz="0" w:space="0" w:color="auto"/>
                                                <w:left w:val="none" w:sz="0" w:space="0" w:color="auto"/>
                                                <w:bottom w:val="none" w:sz="0" w:space="0" w:color="auto"/>
                                                <w:right w:val="none" w:sz="0" w:space="0" w:color="auto"/>
                                              </w:divBdr>
                                              <w:divsChild>
                                                <w:div w:id="107315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1567867">
      <w:bodyDiv w:val="1"/>
      <w:marLeft w:val="0"/>
      <w:marRight w:val="0"/>
      <w:marTop w:val="0"/>
      <w:marBottom w:val="0"/>
      <w:divBdr>
        <w:top w:val="none" w:sz="0" w:space="0" w:color="auto"/>
        <w:left w:val="none" w:sz="0" w:space="0" w:color="auto"/>
        <w:bottom w:val="none" w:sz="0" w:space="0" w:color="auto"/>
        <w:right w:val="none" w:sz="0" w:space="0" w:color="auto"/>
      </w:divBdr>
      <w:divsChild>
        <w:div w:id="175315570">
          <w:marLeft w:val="0"/>
          <w:marRight w:val="0"/>
          <w:marTop w:val="0"/>
          <w:marBottom w:val="0"/>
          <w:divBdr>
            <w:top w:val="none" w:sz="0" w:space="0" w:color="auto"/>
            <w:left w:val="none" w:sz="0" w:space="0" w:color="auto"/>
            <w:bottom w:val="none" w:sz="0" w:space="0" w:color="auto"/>
            <w:right w:val="none" w:sz="0" w:space="0" w:color="auto"/>
          </w:divBdr>
          <w:divsChild>
            <w:div w:id="468400055">
              <w:marLeft w:val="0"/>
              <w:marRight w:val="0"/>
              <w:marTop w:val="0"/>
              <w:marBottom w:val="0"/>
              <w:divBdr>
                <w:top w:val="none" w:sz="0" w:space="0" w:color="auto"/>
                <w:left w:val="none" w:sz="0" w:space="0" w:color="auto"/>
                <w:bottom w:val="none" w:sz="0" w:space="0" w:color="auto"/>
                <w:right w:val="none" w:sz="0" w:space="0" w:color="auto"/>
              </w:divBdr>
              <w:divsChild>
                <w:div w:id="592251839">
                  <w:marLeft w:val="-225"/>
                  <w:marRight w:val="-225"/>
                  <w:marTop w:val="0"/>
                  <w:marBottom w:val="0"/>
                  <w:divBdr>
                    <w:top w:val="none" w:sz="0" w:space="0" w:color="auto"/>
                    <w:left w:val="none" w:sz="0" w:space="0" w:color="auto"/>
                    <w:bottom w:val="none" w:sz="0" w:space="0" w:color="auto"/>
                    <w:right w:val="none" w:sz="0" w:space="0" w:color="auto"/>
                  </w:divBdr>
                  <w:divsChild>
                    <w:div w:id="321472057">
                      <w:marLeft w:val="0"/>
                      <w:marRight w:val="0"/>
                      <w:marTop w:val="0"/>
                      <w:marBottom w:val="0"/>
                      <w:divBdr>
                        <w:top w:val="none" w:sz="0" w:space="0" w:color="auto"/>
                        <w:left w:val="none" w:sz="0" w:space="0" w:color="auto"/>
                        <w:bottom w:val="none" w:sz="0" w:space="0" w:color="auto"/>
                        <w:right w:val="none" w:sz="0" w:space="0" w:color="auto"/>
                      </w:divBdr>
                      <w:divsChild>
                        <w:div w:id="1271014803">
                          <w:marLeft w:val="-225"/>
                          <w:marRight w:val="-225"/>
                          <w:marTop w:val="0"/>
                          <w:marBottom w:val="0"/>
                          <w:divBdr>
                            <w:top w:val="none" w:sz="0" w:space="0" w:color="auto"/>
                            <w:left w:val="none" w:sz="0" w:space="0" w:color="auto"/>
                            <w:bottom w:val="none" w:sz="0" w:space="0" w:color="auto"/>
                            <w:right w:val="none" w:sz="0" w:space="0" w:color="auto"/>
                          </w:divBdr>
                          <w:divsChild>
                            <w:div w:id="641813034">
                              <w:marLeft w:val="0"/>
                              <w:marRight w:val="0"/>
                              <w:marTop w:val="0"/>
                              <w:marBottom w:val="0"/>
                              <w:divBdr>
                                <w:top w:val="none" w:sz="0" w:space="0" w:color="auto"/>
                                <w:left w:val="none" w:sz="0" w:space="0" w:color="auto"/>
                                <w:bottom w:val="none" w:sz="0" w:space="0" w:color="auto"/>
                                <w:right w:val="none" w:sz="0" w:space="0" w:color="auto"/>
                              </w:divBdr>
                              <w:divsChild>
                                <w:div w:id="1363433836">
                                  <w:marLeft w:val="0"/>
                                  <w:marRight w:val="0"/>
                                  <w:marTop w:val="0"/>
                                  <w:marBottom w:val="0"/>
                                  <w:divBdr>
                                    <w:top w:val="none" w:sz="0" w:space="0" w:color="auto"/>
                                    <w:left w:val="none" w:sz="0" w:space="0" w:color="auto"/>
                                    <w:bottom w:val="none" w:sz="0" w:space="0" w:color="auto"/>
                                    <w:right w:val="none" w:sz="0" w:space="0" w:color="auto"/>
                                  </w:divBdr>
                                  <w:divsChild>
                                    <w:div w:id="1958755451">
                                      <w:marLeft w:val="0"/>
                                      <w:marRight w:val="0"/>
                                      <w:marTop w:val="0"/>
                                      <w:marBottom w:val="0"/>
                                      <w:divBdr>
                                        <w:top w:val="none" w:sz="0" w:space="0" w:color="auto"/>
                                        <w:left w:val="none" w:sz="0" w:space="0" w:color="auto"/>
                                        <w:bottom w:val="none" w:sz="0" w:space="0" w:color="auto"/>
                                        <w:right w:val="none" w:sz="0" w:space="0" w:color="auto"/>
                                      </w:divBdr>
                                      <w:divsChild>
                                        <w:div w:id="1797407652">
                                          <w:marLeft w:val="0"/>
                                          <w:marRight w:val="0"/>
                                          <w:marTop w:val="0"/>
                                          <w:marBottom w:val="0"/>
                                          <w:divBdr>
                                            <w:top w:val="none" w:sz="0" w:space="0" w:color="auto"/>
                                            <w:left w:val="none" w:sz="0" w:space="0" w:color="auto"/>
                                            <w:bottom w:val="none" w:sz="0" w:space="0" w:color="auto"/>
                                            <w:right w:val="none" w:sz="0" w:space="0" w:color="auto"/>
                                          </w:divBdr>
                                          <w:divsChild>
                                            <w:div w:id="946039491">
                                              <w:marLeft w:val="0"/>
                                              <w:marRight w:val="0"/>
                                              <w:marTop w:val="0"/>
                                              <w:marBottom w:val="0"/>
                                              <w:divBdr>
                                                <w:top w:val="none" w:sz="0" w:space="0" w:color="auto"/>
                                                <w:left w:val="none" w:sz="0" w:space="0" w:color="auto"/>
                                                <w:bottom w:val="none" w:sz="0" w:space="0" w:color="auto"/>
                                                <w:right w:val="none" w:sz="0" w:space="0" w:color="auto"/>
                                              </w:divBdr>
                                              <w:divsChild>
                                                <w:div w:id="155943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3236191">
      <w:bodyDiv w:val="1"/>
      <w:marLeft w:val="0"/>
      <w:marRight w:val="0"/>
      <w:marTop w:val="0"/>
      <w:marBottom w:val="0"/>
      <w:divBdr>
        <w:top w:val="none" w:sz="0" w:space="0" w:color="auto"/>
        <w:left w:val="none" w:sz="0" w:space="0" w:color="auto"/>
        <w:bottom w:val="none" w:sz="0" w:space="0" w:color="auto"/>
        <w:right w:val="none" w:sz="0" w:space="0" w:color="auto"/>
      </w:divBdr>
    </w:div>
    <w:div w:id="635379338">
      <w:bodyDiv w:val="1"/>
      <w:marLeft w:val="0"/>
      <w:marRight w:val="0"/>
      <w:marTop w:val="0"/>
      <w:marBottom w:val="0"/>
      <w:divBdr>
        <w:top w:val="none" w:sz="0" w:space="0" w:color="auto"/>
        <w:left w:val="none" w:sz="0" w:space="0" w:color="auto"/>
        <w:bottom w:val="none" w:sz="0" w:space="0" w:color="auto"/>
        <w:right w:val="none" w:sz="0" w:space="0" w:color="auto"/>
      </w:divBdr>
    </w:div>
    <w:div w:id="1030764162">
      <w:bodyDiv w:val="1"/>
      <w:marLeft w:val="0"/>
      <w:marRight w:val="0"/>
      <w:marTop w:val="0"/>
      <w:marBottom w:val="0"/>
      <w:divBdr>
        <w:top w:val="none" w:sz="0" w:space="0" w:color="auto"/>
        <w:left w:val="none" w:sz="0" w:space="0" w:color="auto"/>
        <w:bottom w:val="none" w:sz="0" w:space="0" w:color="auto"/>
        <w:right w:val="none" w:sz="0" w:space="0" w:color="auto"/>
      </w:divBdr>
    </w:div>
    <w:div w:id="1173372159">
      <w:bodyDiv w:val="1"/>
      <w:marLeft w:val="0"/>
      <w:marRight w:val="0"/>
      <w:marTop w:val="0"/>
      <w:marBottom w:val="0"/>
      <w:divBdr>
        <w:top w:val="none" w:sz="0" w:space="0" w:color="auto"/>
        <w:left w:val="none" w:sz="0" w:space="0" w:color="auto"/>
        <w:bottom w:val="none" w:sz="0" w:space="0" w:color="auto"/>
        <w:right w:val="none" w:sz="0" w:space="0" w:color="auto"/>
      </w:divBdr>
      <w:divsChild>
        <w:div w:id="884827628">
          <w:marLeft w:val="0"/>
          <w:marRight w:val="0"/>
          <w:marTop w:val="0"/>
          <w:marBottom w:val="0"/>
          <w:divBdr>
            <w:top w:val="none" w:sz="0" w:space="0" w:color="auto"/>
            <w:left w:val="none" w:sz="0" w:space="0" w:color="auto"/>
            <w:bottom w:val="none" w:sz="0" w:space="0" w:color="auto"/>
            <w:right w:val="none" w:sz="0" w:space="0" w:color="auto"/>
          </w:divBdr>
          <w:divsChild>
            <w:div w:id="522012905">
              <w:marLeft w:val="0"/>
              <w:marRight w:val="0"/>
              <w:marTop w:val="0"/>
              <w:marBottom w:val="0"/>
              <w:divBdr>
                <w:top w:val="none" w:sz="0" w:space="0" w:color="auto"/>
                <w:left w:val="none" w:sz="0" w:space="0" w:color="auto"/>
                <w:bottom w:val="none" w:sz="0" w:space="0" w:color="auto"/>
                <w:right w:val="none" w:sz="0" w:space="0" w:color="auto"/>
              </w:divBdr>
              <w:divsChild>
                <w:div w:id="387605829">
                  <w:marLeft w:val="-225"/>
                  <w:marRight w:val="-225"/>
                  <w:marTop w:val="0"/>
                  <w:marBottom w:val="0"/>
                  <w:divBdr>
                    <w:top w:val="none" w:sz="0" w:space="0" w:color="auto"/>
                    <w:left w:val="none" w:sz="0" w:space="0" w:color="auto"/>
                    <w:bottom w:val="none" w:sz="0" w:space="0" w:color="auto"/>
                    <w:right w:val="none" w:sz="0" w:space="0" w:color="auto"/>
                  </w:divBdr>
                  <w:divsChild>
                    <w:div w:id="1978146382">
                      <w:marLeft w:val="0"/>
                      <w:marRight w:val="0"/>
                      <w:marTop w:val="0"/>
                      <w:marBottom w:val="0"/>
                      <w:divBdr>
                        <w:top w:val="none" w:sz="0" w:space="0" w:color="auto"/>
                        <w:left w:val="none" w:sz="0" w:space="0" w:color="auto"/>
                        <w:bottom w:val="none" w:sz="0" w:space="0" w:color="auto"/>
                        <w:right w:val="none" w:sz="0" w:space="0" w:color="auto"/>
                      </w:divBdr>
                      <w:divsChild>
                        <w:div w:id="828903084">
                          <w:marLeft w:val="-225"/>
                          <w:marRight w:val="-225"/>
                          <w:marTop w:val="0"/>
                          <w:marBottom w:val="0"/>
                          <w:divBdr>
                            <w:top w:val="none" w:sz="0" w:space="0" w:color="auto"/>
                            <w:left w:val="none" w:sz="0" w:space="0" w:color="auto"/>
                            <w:bottom w:val="none" w:sz="0" w:space="0" w:color="auto"/>
                            <w:right w:val="none" w:sz="0" w:space="0" w:color="auto"/>
                          </w:divBdr>
                          <w:divsChild>
                            <w:div w:id="41222936">
                              <w:marLeft w:val="0"/>
                              <w:marRight w:val="0"/>
                              <w:marTop w:val="0"/>
                              <w:marBottom w:val="0"/>
                              <w:divBdr>
                                <w:top w:val="none" w:sz="0" w:space="0" w:color="auto"/>
                                <w:left w:val="none" w:sz="0" w:space="0" w:color="auto"/>
                                <w:bottom w:val="none" w:sz="0" w:space="0" w:color="auto"/>
                                <w:right w:val="none" w:sz="0" w:space="0" w:color="auto"/>
                              </w:divBdr>
                              <w:divsChild>
                                <w:div w:id="1694727554">
                                  <w:marLeft w:val="0"/>
                                  <w:marRight w:val="0"/>
                                  <w:marTop w:val="0"/>
                                  <w:marBottom w:val="0"/>
                                  <w:divBdr>
                                    <w:top w:val="none" w:sz="0" w:space="0" w:color="auto"/>
                                    <w:left w:val="none" w:sz="0" w:space="0" w:color="auto"/>
                                    <w:bottom w:val="none" w:sz="0" w:space="0" w:color="auto"/>
                                    <w:right w:val="none" w:sz="0" w:space="0" w:color="auto"/>
                                  </w:divBdr>
                                  <w:divsChild>
                                    <w:div w:id="1738044997">
                                      <w:marLeft w:val="0"/>
                                      <w:marRight w:val="0"/>
                                      <w:marTop w:val="0"/>
                                      <w:marBottom w:val="0"/>
                                      <w:divBdr>
                                        <w:top w:val="none" w:sz="0" w:space="0" w:color="auto"/>
                                        <w:left w:val="none" w:sz="0" w:space="0" w:color="auto"/>
                                        <w:bottom w:val="none" w:sz="0" w:space="0" w:color="auto"/>
                                        <w:right w:val="none" w:sz="0" w:space="0" w:color="auto"/>
                                      </w:divBdr>
                                      <w:divsChild>
                                        <w:div w:id="367293904">
                                          <w:marLeft w:val="0"/>
                                          <w:marRight w:val="0"/>
                                          <w:marTop w:val="0"/>
                                          <w:marBottom w:val="0"/>
                                          <w:divBdr>
                                            <w:top w:val="none" w:sz="0" w:space="0" w:color="auto"/>
                                            <w:left w:val="none" w:sz="0" w:space="0" w:color="auto"/>
                                            <w:bottom w:val="none" w:sz="0" w:space="0" w:color="auto"/>
                                            <w:right w:val="none" w:sz="0" w:space="0" w:color="auto"/>
                                          </w:divBdr>
                                          <w:divsChild>
                                            <w:div w:id="81800486">
                                              <w:marLeft w:val="0"/>
                                              <w:marRight w:val="0"/>
                                              <w:marTop w:val="0"/>
                                              <w:marBottom w:val="0"/>
                                              <w:divBdr>
                                                <w:top w:val="none" w:sz="0" w:space="0" w:color="auto"/>
                                                <w:left w:val="none" w:sz="0" w:space="0" w:color="auto"/>
                                                <w:bottom w:val="none" w:sz="0" w:space="0" w:color="auto"/>
                                                <w:right w:val="none" w:sz="0" w:space="0" w:color="auto"/>
                                              </w:divBdr>
                                              <w:divsChild>
                                                <w:div w:id="189531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6867364">
      <w:bodyDiv w:val="1"/>
      <w:marLeft w:val="0"/>
      <w:marRight w:val="0"/>
      <w:marTop w:val="0"/>
      <w:marBottom w:val="0"/>
      <w:divBdr>
        <w:top w:val="none" w:sz="0" w:space="0" w:color="auto"/>
        <w:left w:val="none" w:sz="0" w:space="0" w:color="auto"/>
        <w:bottom w:val="none" w:sz="0" w:space="0" w:color="auto"/>
        <w:right w:val="none" w:sz="0" w:space="0" w:color="auto"/>
      </w:divBdr>
    </w:div>
    <w:div w:id="1392312547">
      <w:bodyDiv w:val="1"/>
      <w:marLeft w:val="0"/>
      <w:marRight w:val="0"/>
      <w:marTop w:val="0"/>
      <w:marBottom w:val="0"/>
      <w:divBdr>
        <w:top w:val="none" w:sz="0" w:space="0" w:color="auto"/>
        <w:left w:val="none" w:sz="0" w:space="0" w:color="auto"/>
        <w:bottom w:val="none" w:sz="0" w:space="0" w:color="auto"/>
        <w:right w:val="none" w:sz="0" w:space="0" w:color="auto"/>
      </w:divBdr>
    </w:div>
    <w:div w:id="1595093776">
      <w:bodyDiv w:val="1"/>
      <w:marLeft w:val="0"/>
      <w:marRight w:val="0"/>
      <w:marTop w:val="0"/>
      <w:marBottom w:val="0"/>
      <w:divBdr>
        <w:top w:val="none" w:sz="0" w:space="0" w:color="auto"/>
        <w:left w:val="none" w:sz="0" w:space="0" w:color="auto"/>
        <w:bottom w:val="none" w:sz="0" w:space="0" w:color="auto"/>
        <w:right w:val="none" w:sz="0" w:space="0" w:color="auto"/>
      </w:divBdr>
    </w:div>
    <w:div w:id="1789202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81543-E837-4222-AEB1-824FC3714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5416</Words>
  <Characters>34123</Characters>
  <Application>Microsoft Office Word</Application>
  <DocSecurity>0</DocSecurity>
  <Lines>284</Lines>
  <Paragraphs>78</Paragraphs>
  <ScaleCrop>false</ScaleCrop>
  <HeadingPairs>
    <vt:vector size="2" baseType="variant">
      <vt:variant>
        <vt:lpstr>Titel</vt:lpstr>
      </vt:variant>
      <vt:variant>
        <vt:i4>1</vt:i4>
      </vt:variant>
    </vt:vector>
  </HeadingPairs>
  <TitlesOfParts>
    <vt:vector size="1" baseType="lpstr">
      <vt:lpstr>Neutral</vt:lpstr>
    </vt:vector>
  </TitlesOfParts>
  <Company>Niederer Kraft &amp; Frey AG</Company>
  <LinksUpToDate>false</LinksUpToDate>
  <CharactersWithSpaces>39461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Neutral</dc:title>
  <dc:creator>Schott Bertrand G.</dc:creator>
  <cp:lastModifiedBy>Kurt Brändle</cp:lastModifiedBy>
  <cp:revision>2</cp:revision>
  <cp:lastPrinted>2015-01-12T13:39:00Z</cp:lastPrinted>
  <dcterms:created xsi:type="dcterms:W3CDTF">2015-01-12T22:28:00Z</dcterms:created>
  <dcterms:modified xsi:type="dcterms:W3CDTF">2015-01-12T22:28:00Z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-1249061256</vt:i4>
  </property>
  <property fmtid="{D5CDD505-2E9C-101B-9397-08002B2CF9AE}" pid="3" name="_NewReviewCycle">
    <vt:lpwstr/>
  </property>
  <property fmtid="{D5CDD505-2E9C-101B-9397-08002B2CF9AE}" pid="4" name="_EmailSubject">
    <vt:lpwstr>KGAST - Revisionsvorschlag [NKF-A.FID1413298546]</vt:lpwstr>
  </property>
  <property fmtid="{D5CDD505-2E9C-101B-9397-08002B2CF9AE}" pid="5" name="_AuthorEmail">
    <vt:lpwstr>bertrand.schott@nkf.ch</vt:lpwstr>
  </property>
  <property fmtid="{D5CDD505-2E9C-101B-9397-08002B2CF9AE}" pid="6" name="_AuthorEmailDisplayName">
    <vt:lpwstr>Schott Bertrand G.</vt:lpwstr>
  </property>
  <property fmtid="{D5CDD505-2E9C-101B-9397-08002B2CF9AE}" pid="7" name="_PreviousAdHocReviewCycleID">
    <vt:i4>-1249061256</vt:i4>
  </property>
  <property fmtid="{D5CDD505-2E9C-101B-9397-08002B2CF9AE}" pid="8" name="_ReviewingToolsShownOnce">
    <vt:lpwstr/>
  </property>
</Properties>
</file>