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535F8" w14:textId="77777777" w:rsidR="00DA1B1D" w:rsidRPr="002F0344" w:rsidRDefault="00DA1B1D" w:rsidP="009222BA">
      <w:pPr>
        <w:pStyle w:val="Fuzeile"/>
        <w:rPr>
          <w:b/>
        </w:rPr>
      </w:pPr>
      <w:r w:rsidRPr="002F0344">
        <w:rPr>
          <w:b/>
        </w:rPr>
        <w:t>Vor- und Nachteile einer Anlagestiftung (SWOT-Analyse)</w:t>
      </w:r>
    </w:p>
    <w:p w14:paraId="77041DF8" w14:textId="77777777" w:rsidR="00DA1B1D" w:rsidRDefault="00DA1B1D" w:rsidP="009222BA">
      <w:pPr>
        <w:pStyle w:val="Fuzeile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7059"/>
      </w:tblGrid>
      <w:tr w:rsidR="00DA1B1D" w:rsidRPr="00410E1D" w14:paraId="556E3F7B" w14:textId="77777777" w:rsidTr="002F0344">
        <w:tc>
          <w:tcPr>
            <w:tcW w:w="6799" w:type="dxa"/>
          </w:tcPr>
          <w:p w14:paraId="73FE99BF" w14:textId="77777777" w:rsidR="00DA1B1D" w:rsidRPr="00410E1D" w:rsidRDefault="00DA1B1D" w:rsidP="009222BA">
            <w:pPr>
              <w:pStyle w:val="Fuzeile"/>
              <w:rPr>
                <w:b/>
                <w:sz w:val="22"/>
                <w:szCs w:val="22"/>
              </w:rPr>
            </w:pPr>
            <w:r w:rsidRPr="00410E1D">
              <w:rPr>
                <w:b/>
                <w:sz w:val="22"/>
                <w:szCs w:val="22"/>
              </w:rPr>
              <w:t>Stärken</w:t>
            </w:r>
          </w:p>
          <w:p w14:paraId="095D1F77" w14:textId="77777777" w:rsidR="00DD33D1" w:rsidRPr="00410E1D" w:rsidRDefault="00DD33D1" w:rsidP="00EA0847">
            <w:pPr>
              <w:pStyle w:val="Fuzei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t xml:space="preserve">Selbsthilfeorganisation </w:t>
            </w:r>
            <w:r w:rsidRPr="00410E1D">
              <w:rPr>
                <w:sz w:val="22"/>
                <w:szCs w:val="22"/>
              </w:rPr>
              <w:sym w:font="Symbol" w:char="F0AE"/>
            </w:r>
            <w:r w:rsidRPr="00410E1D">
              <w:rPr>
                <w:sz w:val="22"/>
                <w:szCs w:val="22"/>
              </w:rPr>
              <w:t xml:space="preserve"> Mitwirkungsrechte</w:t>
            </w:r>
            <w:r w:rsidR="00D17829" w:rsidRPr="00410E1D">
              <w:rPr>
                <w:sz w:val="22"/>
                <w:szCs w:val="22"/>
              </w:rPr>
              <w:t>/ Mitgestaltungsrechte der Anleger (AV, SR</w:t>
            </w:r>
            <w:r w:rsidR="00410E1D" w:rsidRPr="00410E1D">
              <w:rPr>
                <w:sz w:val="22"/>
                <w:szCs w:val="22"/>
              </w:rPr>
              <w:t>, Kommissionen</w:t>
            </w:r>
            <w:r w:rsidR="00D17829" w:rsidRPr="00410E1D">
              <w:rPr>
                <w:sz w:val="22"/>
                <w:szCs w:val="22"/>
              </w:rPr>
              <w:t>)</w:t>
            </w:r>
          </w:p>
          <w:p w14:paraId="548CBB12" w14:textId="54A9AE0E" w:rsidR="00976984" w:rsidRDefault="00C450AF" w:rsidP="00EA0847">
            <w:pPr>
              <w:pStyle w:val="Fuzei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t xml:space="preserve">Transparenz und </w:t>
            </w:r>
            <w:r w:rsidR="00976984">
              <w:rPr>
                <w:sz w:val="22"/>
                <w:szCs w:val="22"/>
              </w:rPr>
              <w:t>Governance</w:t>
            </w:r>
            <w:r w:rsidR="00711AF1" w:rsidRPr="00410E1D">
              <w:rPr>
                <w:sz w:val="22"/>
                <w:szCs w:val="22"/>
              </w:rPr>
              <w:t xml:space="preserve"> (</w:t>
            </w:r>
            <w:r w:rsidR="00711AF1" w:rsidRPr="00410E1D">
              <w:rPr>
                <w:sz w:val="22"/>
                <w:szCs w:val="22"/>
              </w:rPr>
              <w:sym w:font="Symbol" w:char="F0AE"/>
            </w:r>
            <w:r w:rsidR="00711AF1" w:rsidRPr="00410E1D">
              <w:rPr>
                <w:sz w:val="22"/>
                <w:szCs w:val="22"/>
              </w:rPr>
              <w:t xml:space="preserve"> BVV2 und ASV)</w:t>
            </w:r>
            <w:r w:rsidR="00FE29C0">
              <w:rPr>
                <w:sz w:val="22"/>
                <w:szCs w:val="22"/>
              </w:rPr>
              <w:t xml:space="preserve"> gleich für PKs und AST</w:t>
            </w:r>
          </w:p>
          <w:p w14:paraId="35F18D23" w14:textId="77777777" w:rsidR="00C450AF" w:rsidRPr="00410E1D" w:rsidRDefault="00D55531" w:rsidP="00EA0847">
            <w:pPr>
              <w:pStyle w:val="Fuzei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t>AST verwalten substanzielle Volumina an Vorsorgegelder</w:t>
            </w:r>
          </w:p>
          <w:p w14:paraId="0EC04B43" w14:textId="77777777" w:rsidR="00C92609" w:rsidRPr="00410E1D" w:rsidRDefault="00C92609" w:rsidP="00EA0847">
            <w:pPr>
              <w:pStyle w:val="Fuzei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t xml:space="preserve">Aufsicht: Time-to-market </w:t>
            </w:r>
            <w:r w:rsidR="00A24E2B" w:rsidRPr="00410E1D">
              <w:rPr>
                <w:sz w:val="22"/>
                <w:szCs w:val="22"/>
              </w:rPr>
              <w:t xml:space="preserve">bei der Lancierung von neuen Anlagegruppen sowie </w:t>
            </w:r>
            <w:r w:rsidRPr="00410E1D">
              <w:rPr>
                <w:sz w:val="22"/>
                <w:szCs w:val="22"/>
              </w:rPr>
              <w:t>Flexibilität bei alternativen Anlagen</w:t>
            </w:r>
          </w:p>
          <w:p w14:paraId="02141120" w14:textId="77777777" w:rsidR="00976984" w:rsidRDefault="00976984" w:rsidP="00EA0847">
            <w:pPr>
              <w:pStyle w:val="Fuzei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NAV-basierte, steuereffiziente </w:t>
            </w:r>
            <w:r w:rsidR="00434356">
              <w:rPr>
                <w:sz w:val="22"/>
                <w:szCs w:val="22"/>
              </w:rPr>
              <w:t>Realwertanlagen (inkl. Ausland)</w:t>
            </w:r>
          </w:p>
          <w:p w14:paraId="56E1AC8D" w14:textId="67A32F51" w:rsidR="008E7ADC" w:rsidRPr="00410E1D" w:rsidRDefault="008E7ADC" w:rsidP="00EA0847">
            <w:pPr>
              <w:pStyle w:val="Fuzei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t>Von CH PK anerkannte</w:t>
            </w:r>
            <w:r w:rsidR="000D5AEC">
              <w:rPr>
                <w:sz w:val="22"/>
                <w:szCs w:val="22"/>
              </w:rPr>
              <w:t>s</w:t>
            </w:r>
            <w:r w:rsidRPr="00410E1D">
              <w:rPr>
                <w:sz w:val="22"/>
                <w:szCs w:val="22"/>
              </w:rPr>
              <w:t xml:space="preserve"> und geschätztes Anlagevehikel</w:t>
            </w:r>
          </w:p>
          <w:p w14:paraId="2AA57258" w14:textId="77777777" w:rsidR="008E7ADC" w:rsidRPr="00410E1D" w:rsidRDefault="008E7ADC" w:rsidP="00EA0847">
            <w:pPr>
              <w:pStyle w:val="Fuzei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t xml:space="preserve">Auf CH PK zugeschnittene Anlagevehikel; </w:t>
            </w:r>
            <w:r w:rsidR="00842001">
              <w:rPr>
                <w:sz w:val="22"/>
                <w:szCs w:val="22"/>
              </w:rPr>
              <w:t>einfacher Zugang zu komplexen Anlagelösungen (nicht-traditionelle Anlagen)</w:t>
            </w:r>
          </w:p>
          <w:p w14:paraId="282071A3" w14:textId="5AAD451A" w:rsidR="00ED713E" w:rsidRDefault="00ED713E" w:rsidP="00EA0847">
            <w:pPr>
              <w:pStyle w:val="Fuzei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t xml:space="preserve">Anlegerkreis bekannt </w:t>
            </w:r>
            <w:r w:rsidRPr="00410E1D">
              <w:rPr>
                <w:sz w:val="22"/>
                <w:szCs w:val="22"/>
              </w:rPr>
              <w:sym w:font="Symbol" w:char="F0AE"/>
            </w:r>
            <w:r w:rsidRPr="00410E1D">
              <w:rPr>
                <w:sz w:val="22"/>
                <w:szCs w:val="22"/>
              </w:rPr>
              <w:t xml:space="preserve"> Vorteile </w:t>
            </w:r>
            <w:r w:rsidR="00CE629D" w:rsidRPr="00410E1D">
              <w:rPr>
                <w:sz w:val="22"/>
                <w:szCs w:val="22"/>
              </w:rPr>
              <w:t>gegenüber Regulatoren</w:t>
            </w:r>
            <w:r w:rsidRPr="00410E1D">
              <w:rPr>
                <w:sz w:val="22"/>
                <w:szCs w:val="22"/>
              </w:rPr>
              <w:t xml:space="preserve"> (FATCA, </w:t>
            </w:r>
            <w:r w:rsidR="00CF1C61" w:rsidRPr="00410E1D">
              <w:rPr>
                <w:sz w:val="22"/>
                <w:szCs w:val="22"/>
              </w:rPr>
              <w:t xml:space="preserve">FIDLEG/FINIG/FINFRAG, </w:t>
            </w:r>
            <w:r w:rsidRPr="00410E1D">
              <w:rPr>
                <w:sz w:val="22"/>
                <w:szCs w:val="22"/>
              </w:rPr>
              <w:t>KYC, etc.)</w:t>
            </w:r>
            <w:r w:rsidR="00D17829" w:rsidRPr="00410E1D">
              <w:rPr>
                <w:sz w:val="22"/>
                <w:szCs w:val="22"/>
              </w:rPr>
              <w:t xml:space="preserve"> </w:t>
            </w:r>
            <w:r w:rsidR="004B3D5D">
              <w:rPr>
                <w:sz w:val="22"/>
                <w:szCs w:val="22"/>
              </w:rPr>
              <w:br/>
            </w:r>
            <w:r w:rsidR="00D17829" w:rsidRPr="00410E1D">
              <w:rPr>
                <w:sz w:val="22"/>
                <w:szCs w:val="22"/>
              </w:rPr>
              <w:sym w:font="Symbol" w:char="F0AE"/>
            </w:r>
            <w:r w:rsidR="00D17829" w:rsidRPr="00410E1D">
              <w:rPr>
                <w:sz w:val="22"/>
                <w:szCs w:val="22"/>
              </w:rPr>
              <w:t xml:space="preserve"> </w:t>
            </w:r>
            <w:r w:rsidR="00D17829" w:rsidRPr="004B3D5D">
              <w:rPr>
                <w:sz w:val="22"/>
                <w:szCs w:val="22"/>
              </w:rPr>
              <w:t xml:space="preserve">Quellensteuerbefreiung </w:t>
            </w:r>
            <w:r w:rsidR="004B3D5D" w:rsidRPr="004B3D5D">
              <w:rPr>
                <w:sz w:val="22"/>
                <w:szCs w:val="22"/>
              </w:rPr>
              <w:t>a</w:t>
            </w:r>
            <w:r w:rsidR="00EF4CE6" w:rsidRPr="004B3D5D">
              <w:rPr>
                <w:sz w:val="22"/>
                <w:szCs w:val="22"/>
              </w:rPr>
              <w:t>nalog PK</w:t>
            </w:r>
            <w:r w:rsidR="007B23D3">
              <w:rPr>
                <w:sz w:val="22"/>
                <w:szCs w:val="22"/>
              </w:rPr>
              <w:t>s</w:t>
            </w:r>
          </w:p>
          <w:p w14:paraId="7FB4419E" w14:textId="77777777" w:rsidR="009B7D57" w:rsidRDefault="009B7D57" w:rsidP="00EA0847">
            <w:pPr>
              <w:pStyle w:val="Fuzei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Keine Verrechnungssteuern </w:t>
            </w:r>
            <w:r w:rsidR="004365D9" w:rsidRPr="00410E1D"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 xml:space="preserve"> Rückforderungsberechtigt</w:t>
            </w:r>
          </w:p>
          <w:p w14:paraId="41464E92" w14:textId="1A94D49D" w:rsidR="004B3D5D" w:rsidRDefault="007B23D3" w:rsidP="00EA0847">
            <w:pPr>
              <w:pStyle w:val="Fuzei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Gleiche Aufsicht wie PKs</w:t>
            </w:r>
          </w:p>
          <w:p w14:paraId="414120C3" w14:textId="4440EDE2" w:rsidR="00434356" w:rsidRDefault="00434356" w:rsidP="00EA0847">
            <w:pPr>
              <w:pStyle w:val="Fuzei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KGAST Immo Index</w:t>
            </w:r>
            <w:r w:rsidR="007B23D3">
              <w:rPr>
                <w:sz w:val="22"/>
                <w:szCs w:val="22"/>
              </w:rPr>
              <w:t xml:space="preserve"> = USP</w:t>
            </w:r>
          </w:p>
          <w:p w14:paraId="7A92BDFD" w14:textId="77777777" w:rsidR="00EA0847" w:rsidRPr="00980379" w:rsidRDefault="00434356" w:rsidP="00980379">
            <w:pPr>
              <w:pStyle w:val="Fuzeile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Gewährleistung BVG-Konformität</w:t>
            </w:r>
          </w:p>
        </w:tc>
        <w:tc>
          <w:tcPr>
            <w:tcW w:w="7059" w:type="dxa"/>
          </w:tcPr>
          <w:p w14:paraId="6A8F9B5A" w14:textId="77777777" w:rsidR="00DA1B1D" w:rsidRPr="00410E1D" w:rsidRDefault="00DA1B1D" w:rsidP="009222BA">
            <w:pPr>
              <w:pStyle w:val="Fuzeile"/>
              <w:rPr>
                <w:b/>
                <w:sz w:val="22"/>
                <w:szCs w:val="22"/>
              </w:rPr>
            </w:pPr>
            <w:r w:rsidRPr="00410E1D">
              <w:rPr>
                <w:b/>
                <w:sz w:val="22"/>
                <w:szCs w:val="22"/>
              </w:rPr>
              <w:t>Schwächen</w:t>
            </w:r>
          </w:p>
          <w:p w14:paraId="2247C30F" w14:textId="3232A929" w:rsidR="008E7ADC" w:rsidRPr="007B23D3" w:rsidRDefault="00DA1B1D" w:rsidP="007B23D3">
            <w:pPr>
              <w:pStyle w:val="Fuzeile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t>Keine Stempelsteuerbefreiung</w:t>
            </w:r>
            <w:r w:rsidR="002F0344" w:rsidRPr="00410E1D">
              <w:rPr>
                <w:sz w:val="22"/>
                <w:szCs w:val="22"/>
              </w:rPr>
              <w:t xml:space="preserve"> </w:t>
            </w:r>
            <w:r w:rsidR="002F0344" w:rsidRPr="00410E1D">
              <w:rPr>
                <w:sz w:val="22"/>
                <w:szCs w:val="22"/>
              </w:rPr>
              <w:sym w:font="Symbol" w:char="F0AE"/>
            </w:r>
            <w:r w:rsidR="002F0344" w:rsidRPr="00410E1D">
              <w:rPr>
                <w:sz w:val="22"/>
                <w:szCs w:val="22"/>
              </w:rPr>
              <w:t xml:space="preserve"> Aufwändige</w:t>
            </w:r>
            <w:r w:rsidR="008371A7">
              <w:rPr>
                <w:sz w:val="22"/>
                <w:szCs w:val="22"/>
              </w:rPr>
              <w:t xml:space="preserve"> Master/Feederstrukturen </w:t>
            </w:r>
            <w:r w:rsidR="002F0344" w:rsidRPr="00410E1D">
              <w:rPr>
                <w:sz w:val="22"/>
                <w:szCs w:val="22"/>
              </w:rPr>
              <w:t>mittels IF</w:t>
            </w:r>
            <w:r w:rsidR="008E7ADC" w:rsidRPr="00410E1D">
              <w:rPr>
                <w:sz w:val="22"/>
                <w:szCs w:val="22"/>
              </w:rPr>
              <w:t xml:space="preserve"> </w:t>
            </w:r>
            <w:r w:rsidR="008371A7">
              <w:rPr>
                <w:sz w:val="22"/>
                <w:szCs w:val="22"/>
              </w:rPr>
              <w:t xml:space="preserve">nötig </w:t>
            </w:r>
            <w:r w:rsidR="001E7517">
              <w:rPr>
                <w:sz w:val="22"/>
                <w:szCs w:val="22"/>
              </w:rPr>
              <w:br/>
            </w:r>
            <w:r w:rsidR="008E7ADC" w:rsidRPr="00410E1D">
              <w:rPr>
                <w:sz w:val="22"/>
                <w:szCs w:val="22"/>
              </w:rPr>
              <w:sym w:font="Symbol" w:char="F0AE"/>
            </w:r>
            <w:r w:rsidR="008E7ADC" w:rsidRPr="00410E1D">
              <w:rPr>
                <w:sz w:val="22"/>
                <w:szCs w:val="22"/>
              </w:rPr>
              <w:t xml:space="preserve"> </w:t>
            </w:r>
            <w:r w:rsidR="00D368FF" w:rsidRPr="00410E1D">
              <w:rPr>
                <w:sz w:val="22"/>
                <w:szCs w:val="22"/>
              </w:rPr>
              <w:t xml:space="preserve">AST </w:t>
            </w:r>
            <w:r w:rsidR="008E7ADC" w:rsidRPr="00410E1D">
              <w:rPr>
                <w:sz w:val="22"/>
                <w:szCs w:val="22"/>
              </w:rPr>
              <w:t xml:space="preserve">nicht kompetitiv bei grossen, indexierten </w:t>
            </w:r>
            <w:r w:rsidR="00D368FF" w:rsidRPr="00410E1D">
              <w:rPr>
                <w:sz w:val="22"/>
                <w:szCs w:val="22"/>
              </w:rPr>
              <w:t>Volumen</w:t>
            </w:r>
            <w:r w:rsidR="001E7517">
              <w:rPr>
                <w:sz w:val="22"/>
                <w:szCs w:val="22"/>
              </w:rPr>
              <w:t xml:space="preserve">; </w:t>
            </w:r>
            <w:r w:rsidR="001E7517">
              <w:rPr>
                <w:sz w:val="22"/>
                <w:szCs w:val="22"/>
              </w:rPr>
              <w:br/>
            </w:r>
            <w:r w:rsidR="001E7517" w:rsidRPr="00410E1D">
              <w:rPr>
                <w:sz w:val="22"/>
                <w:szCs w:val="22"/>
              </w:rPr>
              <w:sym w:font="Symbol" w:char="F0AE"/>
            </w:r>
            <w:r w:rsidR="001E7517" w:rsidRPr="00410E1D">
              <w:rPr>
                <w:sz w:val="22"/>
                <w:szCs w:val="22"/>
              </w:rPr>
              <w:t xml:space="preserve"> </w:t>
            </w:r>
            <w:r w:rsidR="001E7517">
              <w:rPr>
                <w:sz w:val="22"/>
                <w:szCs w:val="22"/>
              </w:rPr>
              <w:t>Sacheinlagen</w:t>
            </w:r>
            <w:r w:rsidR="007B23D3">
              <w:rPr>
                <w:sz w:val="22"/>
                <w:szCs w:val="22"/>
              </w:rPr>
              <w:t xml:space="preserve"> immer nur noch mit Stempel</w:t>
            </w:r>
            <w:r w:rsidR="001E7517">
              <w:rPr>
                <w:sz w:val="22"/>
                <w:szCs w:val="22"/>
              </w:rPr>
              <w:br/>
            </w:r>
            <w:r w:rsidR="001E7517" w:rsidRPr="00410E1D">
              <w:rPr>
                <w:sz w:val="22"/>
                <w:szCs w:val="22"/>
              </w:rPr>
              <w:sym w:font="Symbol" w:char="F0AE"/>
            </w:r>
            <w:r w:rsidR="001E7517" w:rsidRPr="00410E1D">
              <w:rPr>
                <w:sz w:val="22"/>
                <w:szCs w:val="22"/>
              </w:rPr>
              <w:t xml:space="preserve"> </w:t>
            </w:r>
            <w:r w:rsidR="001E7517">
              <w:rPr>
                <w:sz w:val="22"/>
                <w:szCs w:val="22"/>
              </w:rPr>
              <w:t>keine direkten Aktionärsstimmrechte</w:t>
            </w:r>
            <w:r w:rsidR="007B23D3">
              <w:rPr>
                <w:sz w:val="22"/>
                <w:szCs w:val="22"/>
              </w:rPr>
              <w:t xml:space="preserve"> / Gläubigerrechte</w:t>
            </w:r>
            <w:r w:rsidR="001E7517" w:rsidRPr="007B23D3">
              <w:rPr>
                <w:sz w:val="22"/>
                <w:szCs w:val="22"/>
              </w:rPr>
              <w:br/>
            </w:r>
            <w:r w:rsidR="001E7517" w:rsidRPr="00410E1D">
              <w:rPr>
                <w:sz w:val="22"/>
                <w:szCs w:val="22"/>
              </w:rPr>
              <w:sym w:font="Symbol" w:char="F0AE"/>
            </w:r>
            <w:r w:rsidR="001E7517" w:rsidRPr="007B23D3">
              <w:rPr>
                <w:sz w:val="22"/>
                <w:szCs w:val="22"/>
              </w:rPr>
              <w:t xml:space="preserve"> doppelte Aufsicht (Kosten, Time-to-market, etc.)</w:t>
            </w:r>
          </w:p>
          <w:p w14:paraId="31E3040D" w14:textId="5232F6F8" w:rsidR="007B23D3" w:rsidRDefault="007B23D3" w:rsidP="007B23D3">
            <w:pPr>
              <w:pStyle w:val="Fuzeile"/>
              <w:ind w:left="720"/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Seclending Entscheid bei Fonds</w:t>
            </w:r>
          </w:p>
          <w:p w14:paraId="68E14C9F" w14:textId="77777777" w:rsidR="007B23D3" w:rsidRPr="00410E1D" w:rsidRDefault="007B23D3" w:rsidP="007B23D3">
            <w:pPr>
              <w:pStyle w:val="Fuzeile"/>
              <w:ind w:left="720"/>
              <w:rPr>
                <w:sz w:val="22"/>
                <w:szCs w:val="22"/>
              </w:rPr>
            </w:pPr>
          </w:p>
          <w:p w14:paraId="3612D77D" w14:textId="77777777" w:rsidR="00DA1B1D" w:rsidRPr="00410E1D" w:rsidRDefault="00DA1B1D" w:rsidP="004B3D5D">
            <w:pPr>
              <w:pStyle w:val="Fuzeile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t>Keine Mehrwertsteuerbefreiung</w:t>
            </w:r>
          </w:p>
          <w:p w14:paraId="0BE1A35D" w14:textId="77777777" w:rsidR="002F0344" w:rsidRPr="00410E1D" w:rsidRDefault="003C2F82" w:rsidP="004B3D5D">
            <w:pPr>
              <w:pStyle w:val="Fuzeile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Volumenplafonierung</w:t>
            </w:r>
            <w:r w:rsidR="00712FB2">
              <w:rPr>
                <w:sz w:val="22"/>
                <w:szCs w:val="22"/>
              </w:rPr>
              <w:t xml:space="preserve"> durch eingeschränkten Anlegerkreis</w:t>
            </w:r>
          </w:p>
          <w:p w14:paraId="6A44EF2A" w14:textId="77777777" w:rsidR="00C92609" w:rsidRDefault="00C92609" w:rsidP="004B3D5D">
            <w:pPr>
              <w:pStyle w:val="Fuzeile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t>Einschränkungen durch ASV und BVV2</w:t>
            </w:r>
            <w:r w:rsidR="0088680E" w:rsidRPr="00410E1D">
              <w:rPr>
                <w:sz w:val="22"/>
                <w:szCs w:val="22"/>
              </w:rPr>
              <w:t xml:space="preserve"> (Diversifikationsvorschriften etc.)</w:t>
            </w:r>
          </w:p>
          <w:p w14:paraId="719809ED" w14:textId="5C904D2E" w:rsidR="004B3D5D" w:rsidRDefault="007B23D3" w:rsidP="004B3D5D">
            <w:pPr>
              <w:pStyle w:val="Fuzeile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Heterogene AST-Strukturen: </w:t>
            </w:r>
            <w:r w:rsidR="003C2F82">
              <w:rPr>
                <w:sz w:val="22"/>
                <w:szCs w:val="22"/>
              </w:rPr>
              <w:t>Unterschiedliche Bedürfnisse der verschiedenen AST</w:t>
            </w:r>
          </w:p>
          <w:p w14:paraId="343191FA" w14:textId="6CB9FCC2" w:rsidR="00247F6C" w:rsidRPr="00410E1D" w:rsidRDefault="00247F6C" w:rsidP="004B3D5D">
            <w:pPr>
              <w:pStyle w:val="Fuzeile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 / KGAST weiss nicht, wie die Wahrnehmung der AST bei den potentiellen Kunden ist</w:t>
            </w:r>
          </w:p>
          <w:p w14:paraId="70C1C9F9" w14:textId="77777777" w:rsidR="004B3D5D" w:rsidRPr="00410E1D" w:rsidRDefault="004B3D5D" w:rsidP="004B3D5D">
            <w:pPr>
              <w:pStyle w:val="Fuzeile"/>
              <w:ind w:left="360"/>
              <w:rPr>
                <w:sz w:val="22"/>
                <w:szCs w:val="22"/>
              </w:rPr>
            </w:pPr>
          </w:p>
        </w:tc>
      </w:tr>
      <w:tr w:rsidR="00DA1B1D" w:rsidRPr="00410E1D" w14:paraId="3376E33E" w14:textId="77777777" w:rsidTr="00DA4DD3">
        <w:trPr>
          <w:trHeight w:val="2540"/>
        </w:trPr>
        <w:tc>
          <w:tcPr>
            <w:tcW w:w="6799" w:type="dxa"/>
          </w:tcPr>
          <w:p w14:paraId="01862C6D" w14:textId="77777777" w:rsidR="00DA1B1D" w:rsidRPr="00410E1D" w:rsidRDefault="00DA1B1D" w:rsidP="009222BA">
            <w:pPr>
              <w:pStyle w:val="Fuzeile"/>
              <w:rPr>
                <w:b/>
                <w:sz w:val="22"/>
                <w:szCs w:val="22"/>
              </w:rPr>
            </w:pPr>
            <w:r w:rsidRPr="00410E1D">
              <w:rPr>
                <w:b/>
                <w:sz w:val="22"/>
                <w:szCs w:val="22"/>
              </w:rPr>
              <w:t>Chancen</w:t>
            </w:r>
          </w:p>
          <w:p w14:paraId="136303CD" w14:textId="768A738D" w:rsidR="00DA1B1D" w:rsidRPr="00410E1D" w:rsidRDefault="00344B6B" w:rsidP="00DA1B1D">
            <w:pPr>
              <w:pStyle w:val="Fuzeil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t xml:space="preserve">DBA CH-USA: Vollständige Steuerbefreiung für alle VE </w:t>
            </w:r>
            <w:r w:rsidR="004B3D5D">
              <w:rPr>
                <w:sz w:val="22"/>
                <w:szCs w:val="22"/>
              </w:rPr>
              <w:br/>
            </w:r>
            <w:r w:rsidRPr="00410E1D">
              <w:rPr>
                <w:sz w:val="22"/>
                <w:szCs w:val="22"/>
              </w:rPr>
              <w:sym w:font="Symbol" w:char="F0AE"/>
            </w:r>
            <w:r w:rsidRPr="00410E1D">
              <w:rPr>
                <w:sz w:val="22"/>
                <w:szCs w:val="22"/>
              </w:rPr>
              <w:t xml:space="preserve"> </w:t>
            </w:r>
            <w:r w:rsidR="00965DB0">
              <w:rPr>
                <w:sz w:val="22"/>
                <w:szCs w:val="22"/>
              </w:rPr>
              <w:t xml:space="preserve">quellensteueroptimierte </w:t>
            </w:r>
            <w:r w:rsidRPr="00410E1D">
              <w:rPr>
                <w:sz w:val="22"/>
                <w:szCs w:val="22"/>
              </w:rPr>
              <w:t xml:space="preserve">AST </w:t>
            </w:r>
            <w:r w:rsidR="00965DB0">
              <w:rPr>
                <w:sz w:val="22"/>
                <w:szCs w:val="22"/>
              </w:rPr>
              <w:t xml:space="preserve">bezüglich USA </w:t>
            </w:r>
            <w:r w:rsidRPr="00410E1D">
              <w:rPr>
                <w:sz w:val="22"/>
                <w:szCs w:val="22"/>
              </w:rPr>
              <w:t>können liquidiert werden</w:t>
            </w:r>
          </w:p>
          <w:p w14:paraId="58959DC6" w14:textId="409A5E01" w:rsidR="00CF1644" w:rsidRDefault="00CF1644" w:rsidP="00DA1B1D">
            <w:pPr>
              <w:pStyle w:val="Fuzeil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t xml:space="preserve">Bei der Abschaffung der Stempelsteuern </w:t>
            </w:r>
            <w:r w:rsidR="00893833" w:rsidRPr="00410E1D">
              <w:rPr>
                <w:sz w:val="22"/>
                <w:szCs w:val="22"/>
              </w:rPr>
              <w:t xml:space="preserve">und MWSt </w:t>
            </w:r>
            <w:r w:rsidRPr="00410E1D">
              <w:rPr>
                <w:sz w:val="22"/>
                <w:szCs w:val="22"/>
              </w:rPr>
              <w:t>hätten AST gleich lange Spiesse wie Anlagefonds</w:t>
            </w:r>
            <w:r w:rsidR="007B23D3">
              <w:rPr>
                <w:sz w:val="22"/>
                <w:szCs w:val="22"/>
              </w:rPr>
              <w:t xml:space="preserve"> bei traditionellen Anlagen</w:t>
            </w:r>
          </w:p>
          <w:p w14:paraId="7ED29326" w14:textId="77777777" w:rsidR="008371A7" w:rsidRDefault="008371A7" w:rsidP="00DA1B1D">
            <w:pPr>
              <w:pStyle w:val="Fuzeil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1e Pläne</w:t>
            </w:r>
          </w:p>
          <w:p w14:paraId="7D15151E" w14:textId="77777777" w:rsidR="00DA1B1D" w:rsidRDefault="00965DB0" w:rsidP="00965DB0">
            <w:pPr>
              <w:pStyle w:val="Fuzeil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Vereinfachte Auslandengagements, wenn AST bekannt als Vorsorgeeinrichtung </w:t>
            </w:r>
            <w:r w:rsidRPr="00410E1D">
              <w:rPr>
                <w:sz w:val="22"/>
                <w:szCs w:val="22"/>
              </w:rPr>
              <w:sym w:font="Symbol" w:char="F0AE"/>
            </w:r>
            <w:r w:rsidRPr="00410E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OAK</w:t>
            </w:r>
            <w:r w:rsidR="00980379">
              <w:rPr>
                <w:sz w:val="22"/>
                <w:szCs w:val="22"/>
              </w:rPr>
              <w:t>: Englische Homepage</w:t>
            </w:r>
          </w:p>
          <w:p w14:paraId="6F6415A2" w14:textId="2CD8080D" w:rsidR="007B23D3" w:rsidRPr="00980379" w:rsidRDefault="007B23D3" w:rsidP="00965DB0">
            <w:pPr>
              <w:pStyle w:val="Fuzeil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Vermehrt als Selbsthilfeorganisation wahrgenommen werden, Avareness bei den Kunden</w:t>
            </w:r>
          </w:p>
        </w:tc>
        <w:tc>
          <w:tcPr>
            <w:tcW w:w="7059" w:type="dxa"/>
          </w:tcPr>
          <w:p w14:paraId="6D9ED95E" w14:textId="77777777" w:rsidR="00DA1B1D" w:rsidRPr="00410E1D" w:rsidRDefault="00DA1B1D" w:rsidP="009222BA">
            <w:pPr>
              <w:pStyle w:val="Fuzeile"/>
              <w:rPr>
                <w:b/>
                <w:sz w:val="22"/>
                <w:szCs w:val="22"/>
              </w:rPr>
            </w:pPr>
            <w:r w:rsidRPr="00410E1D">
              <w:rPr>
                <w:b/>
                <w:sz w:val="22"/>
                <w:szCs w:val="22"/>
              </w:rPr>
              <w:t>Risiken</w:t>
            </w:r>
          </w:p>
          <w:p w14:paraId="094E2666" w14:textId="743CD40D" w:rsidR="004B3D5D" w:rsidRDefault="00A24E2B" w:rsidP="00980379">
            <w:pPr>
              <w:pStyle w:val="Fuzeil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410E1D">
              <w:rPr>
                <w:sz w:val="22"/>
                <w:szCs w:val="22"/>
              </w:rPr>
              <w:t>Verschärfte Regulierung: OAK nähert sich FINMA an</w:t>
            </w:r>
            <w:r w:rsidR="00B830CE" w:rsidRPr="00410E1D">
              <w:rPr>
                <w:sz w:val="22"/>
                <w:szCs w:val="22"/>
              </w:rPr>
              <w:t xml:space="preserve"> </w:t>
            </w:r>
            <w:r w:rsidR="007B23D3">
              <w:rPr>
                <w:sz w:val="22"/>
                <w:szCs w:val="22"/>
              </w:rPr>
              <w:t>/ ASV und BVV2 nähern sich KAG/KVV an</w:t>
            </w:r>
            <w:r w:rsidR="00B830CE" w:rsidRPr="00410E1D">
              <w:rPr>
                <w:sz w:val="22"/>
                <w:szCs w:val="22"/>
              </w:rPr>
              <w:br/>
            </w:r>
            <w:r w:rsidR="00B830CE" w:rsidRPr="00410E1D">
              <w:rPr>
                <w:sz w:val="22"/>
                <w:szCs w:val="22"/>
              </w:rPr>
              <w:sym w:font="Symbol" w:char="F0AE"/>
            </w:r>
            <w:r w:rsidR="00B830CE" w:rsidRPr="00410E1D">
              <w:rPr>
                <w:sz w:val="22"/>
                <w:szCs w:val="22"/>
              </w:rPr>
              <w:t xml:space="preserve"> könnte sich negativ auf die Lancierung von alternativen Anlagegruppen auswirken</w:t>
            </w:r>
            <w:r w:rsidR="00FE29C0">
              <w:rPr>
                <w:sz w:val="22"/>
                <w:szCs w:val="22"/>
              </w:rPr>
              <w:br/>
            </w:r>
            <w:r w:rsidR="00FE29C0" w:rsidRPr="00410E1D">
              <w:rPr>
                <w:sz w:val="22"/>
                <w:szCs w:val="22"/>
              </w:rPr>
              <w:sym w:font="Symbol" w:char="F0AE"/>
            </w:r>
            <w:r w:rsidR="00FE29C0">
              <w:rPr>
                <w:sz w:val="22"/>
                <w:szCs w:val="22"/>
              </w:rPr>
              <w:t xml:space="preserve"> „Same business same rules“ ist i.O., wenn zwischen PKs und AST verglichen wird, nicht zwischen Fonds und AST</w:t>
            </w:r>
          </w:p>
          <w:p w14:paraId="1623C13E" w14:textId="77777777" w:rsidR="007B23D3" w:rsidRDefault="007B23D3" w:rsidP="00980379">
            <w:pPr>
              <w:pStyle w:val="Fuzeil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Konsolidierungsprozess bei den PKs könnte sich negativ auf das Produktangebot der AST auswirken (Anlagegruppen mit kleineren Volumen nicht mehr gefragt)</w:t>
            </w:r>
          </w:p>
          <w:p w14:paraId="43D55FC5" w14:textId="77777777" w:rsidR="007B23D3" w:rsidRDefault="007B23D3" w:rsidP="007B23D3">
            <w:pPr>
              <w:pStyle w:val="Fuzeil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„Look-through“ verschärft bei AST gefordert. Von Fonds wird dies nicht und wahrscheinlich auch in Zukunft nicht verlangt.</w:t>
            </w:r>
          </w:p>
          <w:p w14:paraId="0205CC2F" w14:textId="36228F9F" w:rsidR="00827B34" w:rsidRPr="00980379" w:rsidRDefault="00827B34" w:rsidP="00827B34">
            <w:pPr>
              <w:pStyle w:val="Fuzeil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„Falschdeklaration“ der Fonds (als BVV2 konform betitelt) führt Kunden in die Irre</w:t>
            </w:r>
            <w:bookmarkStart w:id="0" w:name="_GoBack"/>
            <w:bookmarkEnd w:id="0"/>
          </w:p>
        </w:tc>
      </w:tr>
    </w:tbl>
    <w:p w14:paraId="72F895E4" w14:textId="74B9251D" w:rsidR="00DA1B1D" w:rsidRDefault="00DA1B1D" w:rsidP="009222BA">
      <w:pPr>
        <w:pStyle w:val="Fuzeile"/>
      </w:pPr>
    </w:p>
    <w:sectPr w:rsidR="00DA1B1D" w:rsidSect="00EA0847"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709" w:right="1105" w:bottom="426" w:left="1814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365BE" w14:textId="77777777" w:rsidR="002B1C09" w:rsidRDefault="002B1C09" w:rsidP="0016360B">
      <w:r>
        <w:separator/>
      </w:r>
    </w:p>
  </w:endnote>
  <w:endnote w:type="continuationSeparator" w:id="0">
    <w:p w14:paraId="0DCB8451" w14:textId="77777777" w:rsidR="002B1C09" w:rsidRDefault="002B1C09" w:rsidP="0016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 Bold">
    <w:altName w:val="Tahom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73420" w14:textId="77777777" w:rsidR="0016360B" w:rsidRDefault="0016360B" w:rsidP="0016360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3679FCC" w14:textId="77777777" w:rsidR="0016360B" w:rsidRDefault="0016360B" w:rsidP="00DD2CAE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C99BA" w14:textId="77777777" w:rsidR="0016360B" w:rsidRPr="00CC7D08" w:rsidRDefault="0016360B" w:rsidP="00593627">
    <w:pPr>
      <w:pStyle w:val="Fuzeile"/>
      <w:framePr w:w="775" w:wrap="around" w:vAnchor="text" w:hAnchor="margin" w:xAlign="right" w:y="2"/>
      <w:jc w:val="right"/>
      <w:rPr>
        <w:rStyle w:val="Seitenzahl"/>
        <w:sz w:val="20"/>
        <w:szCs w:val="20"/>
      </w:rPr>
    </w:pPr>
    <w:r w:rsidRPr="00CC7D08">
      <w:rPr>
        <w:rStyle w:val="Seitenzahl"/>
        <w:sz w:val="20"/>
        <w:szCs w:val="20"/>
      </w:rPr>
      <w:fldChar w:fldCharType="begin"/>
    </w:r>
    <w:r w:rsidRPr="00CC7D08">
      <w:rPr>
        <w:rStyle w:val="Seitenzahl"/>
        <w:sz w:val="20"/>
        <w:szCs w:val="20"/>
      </w:rPr>
      <w:instrText xml:space="preserve">PAGE  </w:instrText>
    </w:r>
    <w:r w:rsidRPr="00CC7D08">
      <w:rPr>
        <w:rStyle w:val="Seitenzahl"/>
        <w:sz w:val="20"/>
        <w:szCs w:val="20"/>
      </w:rPr>
      <w:fldChar w:fldCharType="separate"/>
    </w:r>
    <w:r w:rsidR="00247F6C">
      <w:rPr>
        <w:rStyle w:val="Seitenzahl"/>
        <w:noProof/>
        <w:sz w:val="20"/>
        <w:szCs w:val="20"/>
      </w:rPr>
      <w:t>1</w:t>
    </w:r>
    <w:r w:rsidRPr="00CC7D08">
      <w:rPr>
        <w:rStyle w:val="Seitenzahl"/>
        <w:sz w:val="20"/>
        <w:szCs w:val="20"/>
      </w:rPr>
      <w:fldChar w:fldCharType="end"/>
    </w:r>
    <w:r w:rsidRPr="00CC7D08">
      <w:rPr>
        <w:rStyle w:val="Seitenzahl"/>
        <w:sz w:val="20"/>
        <w:szCs w:val="20"/>
      </w:rPr>
      <w:t xml:space="preserve"> </w:t>
    </w:r>
  </w:p>
  <w:p w14:paraId="02823F5A" w14:textId="77777777" w:rsidR="0016360B" w:rsidRPr="00DD2CAE" w:rsidRDefault="0016360B" w:rsidP="00DD2CAE">
    <w:pPr>
      <w:pStyle w:val="Fuzeile"/>
      <w:ind w:right="360"/>
      <w:jc w:val="right"/>
      <w:rPr>
        <w:color w:val="E5DDCE" w:themeColor="background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BF0B3" w14:textId="77777777" w:rsidR="0016360B" w:rsidRDefault="0016360B">
    <w:pPr>
      <w:pStyle w:val="Fu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7AB5F9E" wp14:editId="64801C5E">
          <wp:simplePos x="0" y="0"/>
          <wp:positionH relativeFrom="page">
            <wp:posOffset>0</wp:posOffset>
          </wp:positionH>
          <wp:positionV relativeFrom="paragraph">
            <wp:posOffset>-358140</wp:posOffset>
          </wp:positionV>
          <wp:extent cx="7561580" cy="981075"/>
          <wp:effectExtent l="0" t="0" r="7620" b="9525"/>
          <wp:wrapNone/>
          <wp:docPr id="40" name="Bild 3" descr="MacBook HD:Users:martin:Desktop:Daten von Irene:IST_Briefbogen_Fu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Book HD:Users:martin:Desktop:Daten von Irene:IST_Briefbogen_Fu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99E72" w14:textId="77777777" w:rsidR="002B1C09" w:rsidRDefault="002B1C09" w:rsidP="0016360B">
      <w:r>
        <w:separator/>
      </w:r>
    </w:p>
  </w:footnote>
  <w:footnote w:type="continuationSeparator" w:id="0">
    <w:p w14:paraId="465D5FAD" w14:textId="77777777" w:rsidR="002B1C09" w:rsidRDefault="002B1C09" w:rsidP="001636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57E4B" w14:textId="77777777" w:rsidR="0016360B" w:rsidRDefault="0016360B">
    <w:pPr>
      <w:pStyle w:val="Kopfzeil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47F2429" wp14:editId="2C9B2A1D">
          <wp:simplePos x="0" y="0"/>
          <wp:positionH relativeFrom="page">
            <wp:posOffset>0</wp:posOffset>
          </wp:positionH>
          <wp:positionV relativeFrom="page">
            <wp:posOffset>-22860</wp:posOffset>
          </wp:positionV>
          <wp:extent cx="7562088" cy="1261872"/>
          <wp:effectExtent l="0" t="0" r="7620" b="8255"/>
          <wp:wrapNone/>
          <wp:docPr id="39" name="Bild 1" descr="MacBook HD:Users:martin:Desktop:Daten von Irene:IST_Briefbogen_Kopf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Book HD:Users:martin:Desktop:Daten von Irene:IST_Briefbogen_Kopf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2618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1F0C7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DCC87A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FBCA0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90D25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E981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DC75A2"/>
    <w:multiLevelType w:val="hybridMultilevel"/>
    <w:tmpl w:val="70889FF4"/>
    <w:lvl w:ilvl="0" w:tplc="F10A92FC">
      <w:start w:val="1"/>
      <w:numFmt w:val="bullet"/>
      <w:pStyle w:val="EinzugKat2"/>
      <w:lvlText w:val=""/>
      <w:lvlJc w:val="left"/>
      <w:pPr>
        <w:ind w:left="720" w:hanging="360"/>
      </w:pPr>
      <w:rPr>
        <w:rFonts w:ascii="Symbol" w:hAnsi="Symbol" w:hint="default"/>
        <w:color w:val="CD09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A62A3"/>
    <w:multiLevelType w:val="hybridMultilevel"/>
    <w:tmpl w:val="227A18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86C4F"/>
    <w:multiLevelType w:val="multilevel"/>
    <w:tmpl w:val="ED5EC9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62353"/>
    <w:multiLevelType w:val="hybridMultilevel"/>
    <w:tmpl w:val="E23231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421B0"/>
    <w:multiLevelType w:val="multilevel"/>
    <w:tmpl w:val="EE608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D09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0554B"/>
    <w:multiLevelType w:val="hybridMultilevel"/>
    <w:tmpl w:val="ED5EC9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37579"/>
    <w:multiLevelType w:val="hybridMultilevel"/>
    <w:tmpl w:val="0B1CA6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D68DF"/>
    <w:multiLevelType w:val="hybridMultilevel"/>
    <w:tmpl w:val="458A4B34"/>
    <w:lvl w:ilvl="0" w:tplc="5B5AE016">
      <w:start w:val="1"/>
      <w:numFmt w:val="bullet"/>
      <w:pStyle w:val="EinzugKat1"/>
      <w:lvlText w:val=""/>
      <w:lvlJc w:val="left"/>
      <w:pPr>
        <w:ind w:left="720" w:hanging="360"/>
      </w:pPr>
      <w:rPr>
        <w:rFonts w:ascii="Symbol" w:hAnsi="Symbol" w:hint="default"/>
        <w:color w:val="CD09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902E1"/>
    <w:multiLevelType w:val="hybridMultilevel"/>
    <w:tmpl w:val="0FC8BBE8"/>
    <w:lvl w:ilvl="0" w:tplc="3D28A302">
      <w:start w:val="1"/>
      <w:numFmt w:val="bullet"/>
      <w:pStyle w:val="Aufzhlung"/>
      <w:lvlText w:val=""/>
      <w:lvlJc w:val="left"/>
      <w:pPr>
        <w:ind w:left="720" w:hanging="360"/>
      </w:pPr>
      <w:rPr>
        <w:rFonts w:ascii="Tahoma" w:hAnsi="Tahoma" w:hint="default"/>
        <w:color w:val="CD0920"/>
        <w:sz w:val="30"/>
        <w:szCs w:val="3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2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1D"/>
    <w:rsid w:val="00067164"/>
    <w:rsid w:val="000D5AEC"/>
    <w:rsid w:val="001006BE"/>
    <w:rsid w:val="00111754"/>
    <w:rsid w:val="00114C6B"/>
    <w:rsid w:val="0016360B"/>
    <w:rsid w:val="001E7517"/>
    <w:rsid w:val="00247F6C"/>
    <w:rsid w:val="002B1C09"/>
    <w:rsid w:val="002B7358"/>
    <w:rsid w:val="002E2ED1"/>
    <w:rsid w:val="002F0344"/>
    <w:rsid w:val="003420AB"/>
    <w:rsid w:val="00344B6B"/>
    <w:rsid w:val="003976B0"/>
    <w:rsid w:val="003C2F82"/>
    <w:rsid w:val="00410E1D"/>
    <w:rsid w:val="00434356"/>
    <w:rsid w:val="004365D9"/>
    <w:rsid w:val="00446CAC"/>
    <w:rsid w:val="004B3D5D"/>
    <w:rsid w:val="004C6037"/>
    <w:rsid w:val="00544F4B"/>
    <w:rsid w:val="00593627"/>
    <w:rsid w:val="005F0256"/>
    <w:rsid w:val="00606560"/>
    <w:rsid w:val="006210C8"/>
    <w:rsid w:val="00711AF1"/>
    <w:rsid w:val="00712FB2"/>
    <w:rsid w:val="007A346D"/>
    <w:rsid w:val="007B23D3"/>
    <w:rsid w:val="007F2561"/>
    <w:rsid w:val="00827B34"/>
    <w:rsid w:val="008371A7"/>
    <w:rsid w:val="00842001"/>
    <w:rsid w:val="0088680E"/>
    <w:rsid w:val="00893833"/>
    <w:rsid w:val="008E7ADC"/>
    <w:rsid w:val="009222BA"/>
    <w:rsid w:val="00965DB0"/>
    <w:rsid w:val="00976984"/>
    <w:rsid w:val="00980379"/>
    <w:rsid w:val="009A4610"/>
    <w:rsid w:val="009B7D57"/>
    <w:rsid w:val="00A24E2B"/>
    <w:rsid w:val="00B830CE"/>
    <w:rsid w:val="00BC721D"/>
    <w:rsid w:val="00C450AF"/>
    <w:rsid w:val="00C92609"/>
    <w:rsid w:val="00CC7D08"/>
    <w:rsid w:val="00CE629D"/>
    <w:rsid w:val="00CF1644"/>
    <w:rsid w:val="00CF1C61"/>
    <w:rsid w:val="00CF3B78"/>
    <w:rsid w:val="00D17829"/>
    <w:rsid w:val="00D368FF"/>
    <w:rsid w:val="00D55531"/>
    <w:rsid w:val="00DA1B1D"/>
    <w:rsid w:val="00DA4DD3"/>
    <w:rsid w:val="00DB4B9E"/>
    <w:rsid w:val="00DD2CAE"/>
    <w:rsid w:val="00DD33D1"/>
    <w:rsid w:val="00EA0847"/>
    <w:rsid w:val="00ED032E"/>
    <w:rsid w:val="00ED713E"/>
    <w:rsid w:val="00EF4CE6"/>
    <w:rsid w:val="00FB1633"/>
    <w:rsid w:val="00FC0A39"/>
    <w:rsid w:val="00FE29C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FEB94F"/>
  <w15:docId w15:val="{1D353DCD-A85B-4FD1-AA19-D80B5E7B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="Tahoma" w:cstheme="minorBidi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185634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17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A9C4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aliases w:val="rote Punkte"/>
    <w:basedOn w:val="Standard"/>
    <w:qFormat/>
    <w:rsid w:val="006D371B"/>
    <w:pPr>
      <w:numPr>
        <w:numId w:val="1"/>
      </w:numPr>
      <w:spacing w:before="240" w:after="120"/>
    </w:pPr>
    <w:rPr>
      <w:color w:val="141412" w:themeColor="text1"/>
      <w:sz w:val="30"/>
      <w:szCs w:val="30"/>
    </w:rPr>
  </w:style>
  <w:style w:type="paragraph" w:customStyle="1" w:styleId="UntertitelKat2">
    <w:name w:val="Untertitel Kat. 2"/>
    <w:basedOn w:val="Standard"/>
    <w:qFormat/>
    <w:rsid w:val="0054166A"/>
    <w:pPr>
      <w:spacing w:before="150" w:after="150" w:line="300" w:lineRule="exact"/>
    </w:pPr>
    <w:rPr>
      <w:rFonts w:cs="Tahoma"/>
      <w:i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1E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41EE"/>
    <w:rPr>
      <w:rFonts w:ascii="Lucida Grande" w:hAnsi="Lucida Grande" w:cs="Lucida Grande"/>
      <w:sz w:val="18"/>
      <w:szCs w:val="18"/>
    </w:rPr>
  </w:style>
  <w:style w:type="paragraph" w:customStyle="1" w:styleId="Betreffzeile">
    <w:name w:val="Betreffzeile"/>
    <w:basedOn w:val="Standard"/>
    <w:qFormat/>
    <w:rsid w:val="0054166A"/>
    <w:pPr>
      <w:spacing w:after="150" w:line="300" w:lineRule="exact"/>
    </w:pPr>
    <w:rPr>
      <w:rFonts w:ascii="Tahoma Bold" w:hAnsi="Tahoma Bold"/>
    </w:rPr>
  </w:style>
  <w:style w:type="paragraph" w:customStyle="1" w:styleId="Haupttitel">
    <w:name w:val="Haupttitel"/>
    <w:basedOn w:val="Standard"/>
    <w:qFormat/>
    <w:rsid w:val="0054166A"/>
    <w:pPr>
      <w:spacing w:before="400" w:after="150" w:line="400" w:lineRule="exact"/>
    </w:pPr>
    <w:rPr>
      <w:rFonts w:ascii="Tahoma Bold" w:hAnsi="Tahoma Bold" w:cs="Tahoma"/>
      <w:noProof/>
      <w:sz w:val="32"/>
      <w:szCs w:val="32"/>
    </w:rPr>
  </w:style>
  <w:style w:type="paragraph" w:customStyle="1" w:styleId="UntertitelKat1">
    <w:name w:val="Untertitel Kat. 1"/>
    <w:basedOn w:val="Standard"/>
    <w:qFormat/>
    <w:rsid w:val="00F7639B"/>
    <w:pPr>
      <w:spacing w:before="300" w:after="150" w:line="300" w:lineRule="exact"/>
    </w:pPr>
    <w:rPr>
      <w:rFonts w:ascii="Tahoma Bold" w:hAnsi="Tahoma Bold" w:cs="Tahoma"/>
    </w:rPr>
  </w:style>
  <w:style w:type="paragraph" w:customStyle="1" w:styleId="Grundtext">
    <w:name w:val="Grundtext"/>
    <w:basedOn w:val="Standard"/>
    <w:qFormat/>
    <w:rsid w:val="00F7639B"/>
    <w:pPr>
      <w:spacing w:after="150" w:line="300" w:lineRule="exact"/>
    </w:pPr>
    <w:rPr>
      <w:rFonts w:cs="Tahoma"/>
      <w:sz w:val="21"/>
      <w:szCs w:val="21"/>
    </w:rPr>
  </w:style>
  <w:style w:type="paragraph" w:customStyle="1" w:styleId="EinzugKat1">
    <w:name w:val="Einzug Kat. 1"/>
    <w:basedOn w:val="Standard"/>
    <w:qFormat/>
    <w:rsid w:val="00F7639B"/>
    <w:pPr>
      <w:numPr>
        <w:numId w:val="4"/>
      </w:numPr>
      <w:spacing w:after="150" w:line="300" w:lineRule="exact"/>
      <w:ind w:left="284" w:hanging="284"/>
    </w:pPr>
    <w:rPr>
      <w:rFonts w:cs="Tahoma"/>
      <w:sz w:val="21"/>
      <w:szCs w:val="21"/>
    </w:rPr>
  </w:style>
  <w:style w:type="paragraph" w:customStyle="1" w:styleId="EinzugKat2">
    <w:name w:val="Einzug Kat. 2"/>
    <w:basedOn w:val="Standard"/>
    <w:qFormat/>
    <w:rsid w:val="00F7639B"/>
    <w:pPr>
      <w:numPr>
        <w:numId w:val="6"/>
      </w:numPr>
      <w:spacing w:after="150" w:line="300" w:lineRule="exact"/>
      <w:ind w:left="568" w:hanging="284"/>
    </w:pPr>
    <w:rPr>
      <w:rFonts w:cs="Tahoma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332C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2CBD"/>
  </w:style>
  <w:style w:type="paragraph" w:styleId="Fuzeile">
    <w:name w:val="footer"/>
    <w:basedOn w:val="Standard"/>
    <w:link w:val="FuzeileZchn"/>
    <w:uiPriority w:val="99"/>
    <w:unhideWhenUsed/>
    <w:rsid w:val="00332C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2CBD"/>
  </w:style>
  <w:style w:type="character" w:customStyle="1" w:styleId="berschrift2Zchn">
    <w:name w:val="Überschrift 2 Zchn"/>
    <w:basedOn w:val="Absatz-Standardschriftart"/>
    <w:link w:val="berschrift2"/>
    <w:uiPriority w:val="9"/>
    <w:rsid w:val="003E17ED"/>
    <w:rPr>
      <w:rFonts w:asciiTheme="majorHAnsi" w:eastAsiaTheme="majorEastAsia" w:hAnsiTheme="majorHAnsi" w:cstheme="majorBidi"/>
      <w:b/>
      <w:bCs/>
      <w:color w:val="72A9C4" w:themeColor="accent1"/>
      <w:sz w:val="26"/>
      <w:szCs w:val="26"/>
    </w:rPr>
  </w:style>
  <w:style w:type="character" w:styleId="Seitenzahl">
    <w:name w:val="page number"/>
    <w:basedOn w:val="Absatz-Standardschriftart"/>
    <w:rsid w:val="00DD2CAE"/>
  </w:style>
  <w:style w:type="table" w:styleId="Tabellenraster">
    <w:name w:val="Table Grid"/>
    <w:basedOn w:val="NormaleTabelle"/>
    <w:rsid w:val="00DA1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ist-app301\ALLUSERS\Vorlagen\Officevorlagen\IST_Blanko%20Vorlage_NEU%202017.dotx" TargetMode="External"/></Relationships>
</file>

<file path=word/theme/theme1.xml><?xml version="1.0" encoding="utf-8"?>
<a:theme xmlns:a="http://schemas.openxmlformats.org/drawingml/2006/main" name="IST - 2 - 24.6.2013 Titelseite">
  <a:themeElements>
    <a:clrScheme name="IST-Farben definitiv">
      <a:dk1>
        <a:srgbClr val="141412"/>
      </a:dk1>
      <a:lt1>
        <a:srgbClr val="FFFFFF"/>
      </a:lt1>
      <a:dk2>
        <a:srgbClr val="E2001A"/>
      </a:dk2>
      <a:lt2>
        <a:srgbClr val="E5DDCE"/>
      </a:lt2>
      <a:accent1>
        <a:srgbClr val="72A9C4"/>
      </a:accent1>
      <a:accent2>
        <a:srgbClr val="82B394"/>
      </a:accent2>
      <a:accent3>
        <a:srgbClr val="956096"/>
      </a:accent3>
      <a:accent4>
        <a:srgbClr val="F99600"/>
      </a:accent4>
      <a:accent5>
        <a:srgbClr val="90989E"/>
      </a:accent5>
      <a:accent6>
        <a:srgbClr val="A8BEBE"/>
      </a:accent6>
      <a:hlink>
        <a:srgbClr val="CCBEB6"/>
      </a:hlink>
      <a:folHlink>
        <a:srgbClr val="FFFFF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8BC21-1531-1A47-B35B-A1E27BAA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ist-app301\ALLUSERS\Vorlagen\Officevorlagen\IST_Blanko Vorlage_NEU 2017.dotx</Template>
  <TotalTime>0</TotalTime>
  <Pages>1</Pages>
  <Words>362</Words>
  <Characters>2282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Diener + Bachmann GmbH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Anliker Markus</dc:creator>
  <cp:lastModifiedBy>Roland Kriemler</cp:lastModifiedBy>
  <cp:revision>3</cp:revision>
  <cp:lastPrinted>2016-09-13T13:37:00Z</cp:lastPrinted>
  <dcterms:created xsi:type="dcterms:W3CDTF">2017-07-14T20:17:00Z</dcterms:created>
  <dcterms:modified xsi:type="dcterms:W3CDTF">2017-07-14T20:35:00Z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1024</vt:i4>
  </property>
</Properties>
</file>