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0999B" w14:textId="28162EC2" w:rsidR="00F87B9F" w:rsidRPr="00457DC5" w:rsidRDefault="00457DC5" w:rsidP="00E11B91">
      <w:pPr>
        <w:rPr>
          <w:b/>
        </w:rPr>
      </w:pPr>
      <w:r w:rsidRPr="00457DC5">
        <w:rPr>
          <w:b/>
        </w:rPr>
        <w:t xml:space="preserve">Instruktion: </w:t>
      </w:r>
    </w:p>
    <w:p w14:paraId="760C9AD2" w14:textId="7783E5E2" w:rsidR="00457DC5" w:rsidRDefault="00457DC5" w:rsidP="00E11B91">
      <w:r>
        <w:t xml:space="preserve">Die KGAST wird dem BSV per 30. Juni 2016 weitere ASV-Änderungsvorschläge zustellen. </w:t>
      </w:r>
      <w:r>
        <w:t xml:space="preserve">Zusätzlich zu den bereits vorgeschlagenen </w:t>
      </w:r>
      <w:r>
        <w:t xml:space="preserve">Änderungen </w:t>
      </w:r>
      <w:r>
        <w:t>zu den Anlagevorschriften (10. Abschnitt / Art. 26 bis 34)</w:t>
      </w:r>
      <w:r>
        <w:t xml:space="preserve">, </w:t>
      </w:r>
      <w:r>
        <w:t>welche dem BSV v</w:t>
      </w:r>
      <w:r>
        <w:t>or einem Jahr zugestellt wurden,</w:t>
      </w:r>
      <w:r>
        <w:t xml:space="preserve"> können auch Vorschläge zu den restlichen ASV-Bestimmungen unterbreitet werden.</w:t>
      </w:r>
      <w:r>
        <w:t xml:space="preserve"> Die Vorschläge müssen den konkreten ASV Artikel nennen, das Problem aufzeigen und gut begründet werden. </w:t>
      </w:r>
    </w:p>
    <w:p w14:paraId="7D30F56A" w14:textId="5A43D65F" w:rsidR="00457DC5" w:rsidRDefault="00457DC5" w:rsidP="00E11B91">
      <w:r>
        <w:t xml:space="preserve">Bitte um Feedback zuhanden der Geschäftsstelle mittels ausgefüllter Tabelle </w:t>
      </w:r>
      <w:r w:rsidRPr="00457DC5">
        <w:rPr>
          <w:b/>
        </w:rPr>
        <w:t>bis 16. April 2016</w:t>
      </w:r>
      <w:r>
        <w:t>.</w:t>
      </w:r>
    </w:p>
    <w:tbl>
      <w:tblPr>
        <w:tblStyle w:val="Tabellenraster"/>
        <w:tblpPr w:leftFromText="141" w:rightFromText="141" w:vertAnchor="page" w:horzAnchor="page" w:tblpX="926" w:tblpY="3038"/>
        <w:tblW w:w="15380" w:type="dxa"/>
        <w:tblLook w:val="04A0" w:firstRow="1" w:lastRow="0" w:firstColumn="1" w:lastColumn="0" w:noHBand="0" w:noVBand="1"/>
      </w:tblPr>
      <w:tblGrid>
        <w:gridCol w:w="1696"/>
        <w:gridCol w:w="2618"/>
        <w:gridCol w:w="4186"/>
        <w:gridCol w:w="2694"/>
        <w:gridCol w:w="4186"/>
      </w:tblGrid>
      <w:tr w:rsidR="00F56C25" w:rsidRPr="00E11B91" w14:paraId="59103953" w14:textId="77777777" w:rsidTr="00F56C25">
        <w:trPr>
          <w:trHeight w:val="605"/>
        </w:trPr>
        <w:tc>
          <w:tcPr>
            <w:tcW w:w="1696" w:type="dxa"/>
          </w:tcPr>
          <w:p w14:paraId="528E1186" w14:textId="77777777" w:rsidR="00F56C25" w:rsidRPr="00E11B91" w:rsidRDefault="00F56C25" w:rsidP="00F56C25">
            <w:pPr>
              <w:rPr>
                <w:b/>
              </w:rPr>
            </w:pPr>
            <w:bookmarkStart w:id="0" w:name="_GoBack"/>
            <w:bookmarkEnd w:id="0"/>
            <w:r w:rsidRPr="00E11B91">
              <w:rPr>
                <w:b/>
              </w:rPr>
              <w:t>ASV Art.</w:t>
            </w:r>
          </w:p>
        </w:tc>
        <w:tc>
          <w:tcPr>
            <w:tcW w:w="2618" w:type="dxa"/>
          </w:tcPr>
          <w:p w14:paraId="2F432137" w14:textId="77777777" w:rsidR="00F56C25" w:rsidRPr="00E11B91" w:rsidRDefault="00F56C25" w:rsidP="00F56C25">
            <w:pPr>
              <w:rPr>
                <w:b/>
              </w:rPr>
            </w:pPr>
            <w:r w:rsidRPr="00E11B91">
              <w:rPr>
                <w:b/>
              </w:rPr>
              <w:t>Wortlaut (optional)</w:t>
            </w:r>
          </w:p>
        </w:tc>
        <w:tc>
          <w:tcPr>
            <w:tcW w:w="4186" w:type="dxa"/>
          </w:tcPr>
          <w:p w14:paraId="3D5E0529" w14:textId="77777777" w:rsidR="00F56C25" w:rsidRPr="00E11B91" w:rsidRDefault="00F56C25" w:rsidP="00F56C25">
            <w:pPr>
              <w:rPr>
                <w:b/>
              </w:rPr>
            </w:pPr>
            <w:r w:rsidRPr="00E11B91">
              <w:rPr>
                <w:b/>
              </w:rPr>
              <w:t>Problembeschrieb</w:t>
            </w:r>
          </w:p>
        </w:tc>
        <w:tc>
          <w:tcPr>
            <w:tcW w:w="2694" w:type="dxa"/>
          </w:tcPr>
          <w:p w14:paraId="5AF8C8FD" w14:textId="77777777" w:rsidR="00F56C25" w:rsidRPr="00E11B91" w:rsidRDefault="00F56C25" w:rsidP="00F56C25">
            <w:pPr>
              <w:rPr>
                <w:b/>
              </w:rPr>
            </w:pPr>
            <w:r w:rsidRPr="00E11B91">
              <w:rPr>
                <w:b/>
              </w:rPr>
              <w:t>Mögliche Lösung</w:t>
            </w:r>
          </w:p>
        </w:tc>
        <w:tc>
          <w:tcPr>
            <w:tcW w:w="4186" w:type="dxa"/>
          </w:tcPr>
          <w:p w14:paraId="15437C9C" w14:textId="77777777" w:rsidR="00F56C25" w:rsidRPr="00E11B91" w:rsidRDefault="00F56C25" w:rsidP="00F56C25">
            <w:pPr>
              <w:rPr>
                <w:b/>
              </w:rPr>
            </w:pPr>
            <w:r w:rsidRPr="00E11B91">
              <w:rPr>
                <w:b/>
              </w:rPr>
              <w:t>Bemerkungen / Erläuterungen</w:t>
            </w:r>
          </w:p>
        </w:tc>
      </w:tr>
      <w:tr w:rsidR="00F56C25" w14:paraId="73D671CB" w14:textId="77777777" w:rsidTr="00F56C25">
        <w:trPr>
          <w:trHeight w:val="567"/>
        </w:trPr>
        <w:tc>
          <w:tcPr>
            <w:tcW w:w="1696" w:type="dxa"/>
          </w:tcPr>
          <w:p w14:paraId="5E73F806" w14:textId="77777777" w:rsidR="00F56C25" w:rsidRPr="00CD204B" w:rsidRDefault="00F56C25" w:rsidP="00F56C25">
            <w:pPr>
              <w:rPr>
                <w:b/>
                <w:i/>
                <w:sz w:val="28"/>
                <w:szCs w:val="28"/>
              </w:rPr>
            </w:pPr>
            <w:r w:rsidRPr="00CD204B">
              <w:rPr>
                <w:b/>
                <w:i/>
                <w:sz w:val="28"/>
                <w:szCs w:val="28"/>
              </w:rPr>
              <w:t>Beispiel</w:t>
            </w:r>
          </w:p>
          <w:p w14:paraId="21FED3FA" w14:textId="77777777" w:rsidR="00F56C25" w:rsidRDefault="00F56C25" w:rsidP="00F56C25"/>
          <w:p w14:paraId="4816D079" w14:textId="77777777" w:rsidR="00F56C25" w:rsidRDefault="00F56C25" w:rsidP="00F56C25">
            <w:r>
              <w:t>17 Abs. 1 lit. c</w:t>
            </w:r>
          </w:p>
        </w:tc>
        <w:tc>
          <w:tcPr>
            <w:tcW w:w="2618" w:type="dxa"/>
          </w:tcPr>
          <w:p w14:paraId="2E4883B5" w14:textId="77777777" w:rsidR="00F56C25" w:rsidRDefault="00F56C25" w:rsidP="00F56C25"/>
          <w:p w14:paraId="2EF170C0" w14:textId="77777777" w:rsidR="00F56C25" w:rsidRDefault="00F56C25" w:rsidP="00F56C25"/>
          <w:p w14:paraId="7F7F3FDA" w14:textId="77777777" w:rsidR="00F56C25" w:rsidRDefault="00F56C25" w:rsidP="00F56C25">
            <w:r>
              <w:t>Der Vorprüfung durch die Aufsichtsbehörde bedürfen:</w:t>
            </w:r>
          </w:p>
          <w:p w14:paraId="4FC180AF" w14:textId="77777777" w:rsidR="00F56C25" w:rsidRDefault="00F56C25" w:rsidP="00F56C25">
            <w:r>
              <w:t>c. der Erlass oder die Änderung von Anlagerichtlinien im Bereich alternativer Anlagen oder Auslandimmobilien</w:t>
            </w:r>
          </w:p>
        </w:tc>
        <w:tc>
          <w:tcPr>
            <w:tcW w:w="4186" w:type="dxa"/>
          </w:tcPr>
          <w:p w14:paraId="4D72A865" w14:textId="77777777" w:rsidR="00F56C25" w:rsidRDefault="00F56C25" w:rsidP="00F56C25">
            <w:pPr>
              <w:rPr>
                <w:rFonts w:cs="Arial"/>
              </w:rPr>
            </w:pPr>
          </w:p>
          <w:p w14:paraId="42B2F6F8" w14:textId="77777777" w:rsidR="00F56C25" w:rsidRDefault="00F56C25" w:rsidP="00F56C25">
            <w:pPr>
              <w:rPr>
                <w:rFonts w:cs="Arial"/>
              </w:rPr>
            </w:pPr>
          </w:p>
          <w:p w14:paraId="66B95E7C" w14:textId="77777777" w:rsidR="00F56C25" w:rsidRPr="003028B1" w:rsidRDefault="00F56C25" w:rsidP="00F56C25">
            <w:r w:rsidRPr="003028B1">
              <w:rPr>
                <w:rFonts w:cs="Arial"/>
              </w:rPr>
              <w:t>Eine Vorprüfung von Anlagerichtlinien verzögert die zeitgerechte Einführung neuer Produkte ungebührlich und schwächt dadurch die Wettbewerbsfähigkeit der Anlag</w:t>
            </w:r>
            <w:r w:rsidRPr="003028B1">
              <w:rPr>
                <w:rFonts w:cs="Arial"/>
              </w:rPr>
              <w:t>e</w:t>
            </w:r>
            <w:r w:rsidRPr="003028B1">
              <w:rPr>
                <w:rFonts w:cs="Arial"/>
              </w:rPr>
              <w:t>stiftungen. Die selbständige Überwachung der Produkte durch die Anlagestiftung erfolgt b</w:t>
            </w:r>
            <w:r w:rsidRPr="003028B1">
              <w:rPr>
                <w:rFonts w:cs="Arial"/>
              </w:rPr>
              <w:t>e</w:t>
            </w:r>
            <w:r w:rsidRPr="003028B1">
              <w:rPr>
                <w:rFonts w:cs="Arial"/>
              </w:rPr>
              <w:t xml:space="preserve">reits im Rahmen der jährlichen Revision. Eine Vorprüfung der Anlagerichtlinien von Auslandimmobilien und alternativen Anlagen für Anlagegruppen, die nur qualifizierten Anlegern offen stehen, ist unzweckmässig. </w:t>
            </w:r>
          </w:p>
          <w:p w14:paraId="706AA571" w14:textId="77777777" w:rsidR="00F56C25" w:rsidRDefault="00F56C25" w:rsidP="00F56C25"/>
        </w:tc>
        <w:tc>
          <w:tcPr>
            <w:tcW w:w="2694" w:type="dxa"/>
          </w:tcPr>
          <w:p w14:paraId="4659DD8E" w14:textId="77777777" w:rsidR="00F56C25" w:rsidRDefault="00F56C25" w:rsidP="00F56C25"/>
          <w:p w14:paraId="00957405" w14:textId="77777777" w:rsidR="00F56C25" w:rsidRDefault="00F56C25" w:rsidP="00F56C25"/>
          <w:p w14:paraId="009098B8" w14:textId="77777777" w:rsidR="00F56C25" w:rsidRDefault="00F56C25" w:rsidP="00F56C25">
            <w:r>
              <w:t>Streichen von litera c.</w:t>
            </w:r>
          </w:p>
        </w:tc>
        <w:tc>
          <w:tcPr>
            <w:tcW w:w="4186" w:type="dxa"/>
          </w:tcPr>
          <w:p w14:paraId="463F8776" w14:textId="77777777" w:rsidR="00F56C25" w:rsidRDefault="00F56C25" w:rsidP="00F56C25">
            <w:pPr>
              <w:rPr>
                <w:rFonts w:cs="Arial"/>
              </w:rPr>
            </w:pPr>
          </w:p>
          <w:p w14:paraId="0E3C9D30" w14:textId="77777777" w:rsidR="00F56C25" w:rsidRDefault="00F56C25" w:rsidP="00F56C25">
            <w:pPr>
              <w:rPr>
                <w:rFonts w:cs="Arial"/>
              </w:rPr>
            </w:pPr>
          </w:p>
          <w:p w14:paraId="4666E11A" w14:textId="77777777" w:rsidR="00F56C25" w:rsidRPr="003028B1" w:rsidRDefault="00F56C25" w:rsidP="00F56C25">
            <w:r w:rsidRPr="003028B1">
              <w:rPr>
                <w:rFonts w:cs="Arial"/>
              </w:rPr>
              <w:t>Durch die Vorprüfung der Anlagerichtlinien wird eine Art Produktgene</w:t>
            </w:r>
            <w:r w:rsidRPr="003028B1">
              <w:rPr>
                <w:rFonts w:cs="Arial"/>
              </w:rPr>
              <w:t>h</w:t>
            </w:r>
            <w:r w:rsidRPr="003028B1">
              <w:rPr>
                <w:rFonts w:cs="Arial"/>
              </w:rPr>
              <w:t>migung eingeführt. Die Einführung einer solchen Genehmigungspflicht wird durch die D</w:t>
            </w:r>
            <w:r w:rsidRPr="003028B1">
              <w:rPr>
                <w:rFonts w:cs="Arial"/>
              </w:rPr>
              <w:t>e</w:t>
            </w:r>
            <w:r w:rsidRPr="003028B1">
              <w:rPr>
                <w:rFonts w:cs="Arial"/>
              </w:rPr>
              <w:t>legat</w:t>
            </w:r>
            <w:r w:rsidRPr="003028B1">
              <w:rPr>
                <w:rFonts w:cs="Arial"/>
              </w:rPr>
              <w:t>i</w:t>
            </w:r>
            <w:r w:rsidRPr="003028B1">
              <w:rPr>
                <w:rFonts w:cs="Arial"/>
              </w:rPr>
              <w:t>onsnorm von Art. 53k BVG nicht abgedeckt. Solch weitgehende Kompetenzen der Aufsicht sind auf Stufe Gesetz zu regeln.</w:t>
            </w:r>
          </w:p>
        </w:tc>
      </w:tr>
      <w:tr w:rsidR="00F56C25" w14:paraId="1922E846" w14:textId="77777777" w:rsidTr="00F56C25">
        <w:trPr>
          <w:trHeight w:val="567"/>
        </w:trPr>
        <w:tc>
          <w:tcPr>
            <w:tcW w:w="1696" w:type="dxa"/>
          </w:tcPr>
          <w:p w14:paraId="04D8604D" w14:textId="77777777" w:rsidR="00F56C25" w:rsidRDefault="00F56C25" w:rsidP="00F56C25"/>
        </w:tc>
        <w:tc>
          <w:tcPr>
            <w:tcW w:w="2618" w:type="dxa"/>
          </w:tcPr>
          <w:p w14:paraId="7BF31EA5" w14:textId="77777777" w:rsidR="00F56C25" w:rsidRDefault="00F56C25" w:rsidP="00F56C25"/>
        </w:tc>
        <w:tc>
          <w:tcPr>
            <w:tcW w:w="4186" w:type="dxa"/>
          </w:tcPr>
          <w:p w14:paraId="38EB9461" w14:textId="77777777" w:rsidR="00F56C25" w:rsidRDefault="00F56C25" w:rsidP="00F56C25"/>
        </w:tc>
        <w:tc>
          <w:tcPr>
            <w:tcW w:w="2694" w:type="dxa"/>
          </w:tcPr>
          <w:p w14:paraId="40A83191" w14:textId="77777777" w:rsidR="00F56C25" w:rsidRDefault="00F56C25" w:rsidP="00F56C25"/>
        </w:tc>
        <w:tc>
          <w:tcPr>
            <w:tcW w:w="4186" w:type="dxa"/>
          </w:tcPr>
          <w:p w14:paraId="0F8269D6" w14:textId="77777777" w:rsidR="00F56C25" w:rsidRDefault="00F56C25" w:rsidP="00F56C25"/>
        </w:tc>
      </w:tr>
      <w:tr w:rsidR="00F56C25" w14:paraId="3F1B7DAA" w14:textId="77777777" w:rsidTr="00F56C25">
        <w:trPr>
          <w:trHeight w:val="567"/>
        </w:trPr>
        <w:tc>
          <w:tcPr>
            <w:tcW w:w="1696" w:type="dxa"/>
          </w:tcPr>
          <w:p w14:paraId="6B357B60" w14:textId="77777777" w:rsidR="00F56C25" w:rsidRDefault="00F56C25" w:rsidP="00F56C25"/>
        </w:tc>
        <w:tc>
          <w:tcPr>
            <w:tcW w:w="2618" w:type="dxa"/>
          </w:tcPr>
          <w:p w14:paraId="7DCB09AF" w14:textId="77777777" w:rsidR="00F56C25" w:rsidRDefault="00F56C25" w:rsidP="00F56C25"/>
        </w:tc>
        <w:tc>
          <w:tcPr>
            <w:tcW w:w="4186" w:type="dxa"/>
          </w:tcPr>
          <w:p w14:paraId="713F697F" w14:textId="77777777" w:rsidR="00F56C25" w:rsidRDefault="00F56C25" w:rsidP="00F56C25"/>
        </w:tc>
        <w:tc>
          <w:tcPr>
            <w:tcW w:w="2694" w:type="dxa"/>
          </w:tcPr>
          <w:p w14:paraId="28BF0EC5" w14:textId="77777777" w:rsidR="00F56C25" w:rsidRDefault="00F56C25" w:rsidP="00F56C25"/>
        </w:tc>
        <w:tc>
          <w:tcPr>
            <w:tcW w:w="4186" w:type="dxa"/>
          </w:tcPr>
          <w:p w14:paraId="44A6691E" w14:textId="77777777" w:rsidR="00F56C25" w:rsidRDefault="00F56C25" w:rsidP="00F56C25"/>
        </w:tc>
      </w:tr>
    </w:tbl>
    <w:p w14:paraId="70739589" w14:textId="3E000B42" w:rsidR="003028B1" w:rsidRDefault="003028B1" w:rsidP="00F56C25"/>
    <w:sectPr w:rsidR="003028B1" w:rsidSect="00F56C25">
      <w:headerReference w:type="even" r:id="rId7"/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FE855" w14:textId="77777777" w:rsidR="00351FC7" w:rsidRDefault="00351FC7" w:rsidP="00E11B91">
      <w:r>
        <w:separator/>
      </w:r>
    </w:p>
  </w:endnote>
  <w:endnote w:type="continuationSeparator" w:id="0">
    <w:p w14:paraId="6390D8BD" w14:textId="77777777" w:rsidR="00351FC7" w:rsidRDefault="00351FC7" w:rsidP="00E1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Std L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21B97" w14:textId="72355B14" w:rsidR="00F56C25" w:rsidRPr="00F56C25" w:rsidRDefault="00F56C25" w:rsidP="00F56C25">
    <w:pPr>
      <w:pStyle w:val="Fuzeile"/>
      <w:ind w:left="2544" w:firstLine="4536"/>
      <w:rPr>
        <w:sz w:val="20"/>
        <w:lang w:val="de-CH"/>
      </w:rPr>
    </w:pPr>
    <w:r w:rsidRPr="00F56C25">
      <w:rPr>
        <w:sz w:val="20"/>
        <w:lang w:val="de-CH"/>
      </w:rPr>
      <w:t>12.03.2016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203DB" w14:textId="77777777" w:rsidR="00351FC7" w:rsidRDefault="00351FC7" w:rsidP="00E11B91">
      <w:r>
        <w:separator/>
      </w:r>
    </w:p>
  </w:footnote>
  <w:footnote w:type="continuationSeparator" w:id="0">
    <w:p w14:paraId="7A8275AF" w14:textId="77777777" w:rsidR="00351FC7" w:rsidRDefault="00351FC7" w:rsidP="00E11B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8D7A7" w14:textId="77777777" w:rsidR="00E11B91" w:rsidRDefault="00E11B91" w:rsidP="002B78B9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FD5F0A4" w14:textId="77777777" w:rsidR="00E11B91" w:rsidRDefault="00E11B91" w:rsidP="00E11B9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205CC" w14:textId="77777777" w:rsidR="00E11B91" w:rsidRDefault="00E11B91" w:rsidP="002B78B9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51FC7">
      <w:rPr>
        <w:rStyle w:val="Seitenzahl"/>
        <w:noProof/>
      </w:rPr>
      <w:t>1</w:t>
    </w:r>
    <w:r>
      <w:rPr>
        <w:rStyle w:val="Seitenzahl"/>
      </w:rPr>
      <w:fldChar w:fldCharType="end"/>
    </w:r>
  </w:p>
  <w:p w14:paraId="17C547BE" w14:textId="77777777" w:rsidR="00E11B91" w:rsidRPr="00E11B91" w:rsidRDefault="00E11B91" w:rsidP="00E11B91">
    <w:pPr>
      <w:pStyle w:val="Kopfzeile"/>
      <w:ind w:right="360"/>
      <w:rPr>
        <w:b/>
        <w:sz w:val="28"/>
        <w:lang w:val="de-CH"/>
      </w:rPr>
    </w:pPr>
    <w:r w:rsidRPr="00E11B91">
      <w:rPr>
        <w:b/>
        <w:sz w:val="28"/>
        <w:lang w:val="de-CH"/>
      </w:rPr>
      <w:t>ASV-Revisionsvorschlag KGAST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C51"/>
    <w:multiLevelType w:val="hybridMultilevel"/>
    <w:tmpl w:val="EE8E5412"/>
    <w:lvl w:ilvl="0" w:tplc="FC109876">
      <w:start w:val="1"/>
      <w:numFmt w:val="bullet"/>
      <w:pStyle w:val="ListeLemma1"/>
      <w:lvlText w:val="–"/>
      <w:lvlJc w:val="left"/>
      <w:pPr>
        <w:tabs>
          <w:tab w:val="num" w:pos="567"/>
        </w:tabs>
        <w:ind w:left="567" w:hanging="567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91"/>
    <w:rsid w:val="003028B1"/>
    <w:rsid w:val="00351FC7"/>
    <w:rsid w:val="00375F78"/>
    <w:rsid w:val="00457DC5"/>
    <w:rsid w:val="00CD204B"/>
    <w:rsid w:val="00E11B91"/>
    <w:rsid w:val="00F56C25"/>
    <w:rsid w:val="00F8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9FB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1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1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E11B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1B91"/>
  </w:style>
  <w:style w:type="paragraph" w:styleId="Fuzeile">
    <w:name w:val="footer"/>
    <w:basedOn w:val="Standard"/>
    <w:link w:val="FuzeileZchn"/>
    <w:uiPriority w:val="99"/>
    <w:unhideWhenUsed/>
    <w:rsid w:val="00E11B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1B91"/>
  </w:style>
  <w:style w:type="character" w:styleId="Seitenzahl">
    <w:name w:val="page number"/>
    <w:basedOn w:val="Absatz-Standardschriftart"/>
    <w:uiPriority w:val="99"/>
    <w:semiHidden/>
    <w:unhideWhenUsed/>
    <w:rsid w:val="00E11B91"/>
  </w:style>
  <w:style w:type="table" w:styleId="Tabellenraster">
    <w:name w:val="Table Grid"/>
    <w:basedOn w:val="NormaleTabelle"/>
    <w:uiPriority w:val="39"/>
    <w:rsid w:val="00E11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Lemma2">
    <w:name w:val="Liste Lemma 2"/>
    <w:basedOn w:val="ListeLemma1"/>
    <w:rsid w:val="003028B1"/>
    <w:pPr>
      <w:tabs>
        <w:tab w:val="left" w:pos="1134"/>
      </w:tabs>
    </w:pPr>
  </w:style>
  <w:style w:type="paragraph" w:customStyle="1" w:styleId="ListeLemma3">
    <w:name w:val="Liste Lemma 3"/>
    <w:basedOn w:val="ListeLemma1"/>
    <w:rsid w:val="003028B1"/>
    <w:pPr>
      <w:tabs>
        <w:tab w:val="left" w:pos="1701"/>
      </w:tabs>
    </w:pPr>
  </w:style>
  <w:style w:type="paragraph" w:customStyle="1" w:styleId="ListeLemma1">
    <w:name w:val="Liste Lemma 1"/>
    <w:basedOn w:val="Standard"/>
    <w:rsid w:val="003028B1"/>
    <w:pPr>
      <w:numPr>
        <w:numId w:val="1"/>
      </w:numPr>
      <w:spacing w:after="280" w:line="280" w:lineRule="exact"/>
    </w:pPr>
    <w:rPr>
      <w:rFonts w:ascii="Times New Roman" w:eastAsia="Times New Roman" w:hAnsi="Times New Roman" w:cs="Times New Roman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1385</Characters>
  <Application>Microsoft Macintosh Word</Application>
  <DocSecurity>0</DocSecurity>
  <Lines>11</Lines>
  <Paragraphs>3</Paragraphs>
  <ScaleCrop>false</ScaleCrop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Kriemler</dc:creator>
  <cp:keywords/>
  <dc:description/>
  <cp:lastModifiedBy>Roland Kriemler</cp:lastModifiedBy>
  <cp:revision>3</cp:revision>
  <dcterms:created xsi:type="dcterms:W3CDTF">2016-03-14T11:16:00Z</dcterms:created>
  <dcterms:modified xsi:type="dcterms:W3CDTF">2016-03-14T11:22:00Z</dcterms:modified>
</cp:coreProperties>
</file>